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header1.xml" ContentType="application/vnd.openxmlformats-officedocument.wordprocessingml.header+xml"/>
  <Override PartName="/word/footer32.xml" ContentType="application/vnd.openxmlformats-officedocument.wordprocessingml.footer+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9779A" w:rsidRDefault="0079779A" w14:paraId="62BFC83C" w14:textId="77777777">
      <w:pPr>
        <w:spacing w:before="480" w:after="240"/>
        <w:jc w:val="right"/>
        <w:rPr>
          <w:rFonts w:cs="Arial"/>
          <w:b/>
          <w:i/>
          <w:smallCaps/>
        </w:rPr>
      </w:pPr>
      <w:bookmarkStart w:name="_Hlk66820503" w:id="0"/>
    </w:p>
    <w:bookmarkEnd w:id="0"/>
    <w:p w:rsidR="0079779A" w:rsidRDefault="003E5439" w14:paraId="72719C8E" w14:textId="77777777">
      <w:pPr>
        <w:spacing w:before="480" w:after="240"/>
        <w:jc w:val="center"/>
        <w:rPr>
          <w:rFonts w:cs="Arial"/>
          <w:b/>
          <w:smallCaps/>
        </w:rPr>
      </w:pPr>
      <w:r>
        <w:rPr>
          <w:rFonts w:cs="Arial"/>
          <w:b/>
          <w:smallCaps/>
        </w:rPr>
        <w:t>[Battery]</w:t>
      </w:r>
      <w:r>
        <w:rPr>
          <w:rStyle w:val="FootnoteReference"/>
          <w:rFonts w:cs="Arial"/>
          <w:b/>
          <w:smallCaps/>
        </w:rPr>
        <w:footnoteReference w:id="2"/>
      </w:r>
      <w:r>
        <w:rPr>
          <w:rFonts w:cs="Arial"/>
          <w:b/>
          <w:smallCaps/>
        </w:rPr>
        <w:t xml:space="preserve"> Storage </w:t>
      </w:r>
    </w:p>
    <w:p w:rsidR="0079779A" w:rsidRDefault="003E5439" w14:paraId="0B8FEFF8" w14:textId="77777777">
      <w:pPr>
        <w:spacing w:before="480" w:after="240"/>
        <w:jc w:val="center"/>
        <w:rPr>
          <w:rFonts w:cs="Arial"/>
          <w:b/>
          <w:smallCaps/>
        </w:rPr>
      </w:pPr>
      <w:r>
        <w:rPr>
          <w:rFonts w:cs="Arial"/>
          <w:b/>
          <w:smallCaps/>
        </w:rPr>
        <w:t>Energy Purchase Agreement</w:t>
      </w:r>
    </w:p>
    <w:p w:rsidR="0079779A" w:rsidRDefault="003E5439" w14:paraId="2BF5C4A7" w14:textId="77777777">
      <w:pPr>
        <w:spacing w:before="480"/>
        <w:jc w:val="center"/>
        <w:rPr>
          <w:rFonts w:cs="Arial"/>
          <w:b/>
          <w:smallCaps/>
        </w:rPr>
      </w:pPr>
      <w:r>
        <w:rPr>
          <w:rFonts w:cs="Arial"/>
          <w:b/>
          <w:smallCaps/>
        </w:rPr>
        <w:t>between</w:t>
      </w:r>
    </w:p>
    <w:p w:rsidR="0079779A" w:rsidRDefault="003E5439" w14:paraId="0E86000E" w14:textId="77777777">
      <w:pPr>
        <w:spacing w:before="480"/>
        <w:jc w:val="center"/>
        <w:rPr>
          <w:rFonts w:cs="Arial"/>
          <w:b/>
          <w:smallCaps/>
        </w:rPr>
      </w:pPr>
      <w:r>
        <w:rPr>
          <w:rFonts w:cs="Arial"/>
          <w:b/>
          <w:smallCaps/>
        </w:rPr>
        <w:t>Public Service Company of Colorado</w:t>
      </w:r>
    </w:p>
    <w:p w:rsidR="0079779A" w:rsidRDefault="003E5439" w14:paraId="45BCD434" w14:textId="77777777">
      <w:pPr>
        <w:spacing w:before="480"/>
        <w:jc w:val="center"/>
        <w:rPr>
          <w:rFonts w:cs="Arial"/>
          <w:b/>
          <w:smallCaps/>
        </w:rPr>
      </w:pPr>
      <w:r>
        <w:rPr>
          <w:rFonts w:cs="Arial"/>
          <w:b/>
          <w:smallCaps/>
        </w:rPr>
        <w:t>and</w:t>
      </w:r>
    </w:p>
    <w:p w:rsidR="0079779A" w:rsidRDefault="003E5439" w14:paraId="7825B4CA" w14:textId="77777777">
      <w:pPr>
        <w:spacing w:before="480"/>
        <w:jc w:val="center"/>
        <w:rPr>
          <w:rFonts w:cs="Arial"/>
          <w:b/>
          <w:smallCaps/>
        </w:rPr>
      </w:pPr>
      <w:r>
        <w:rPr>
          <w:rFonts w:cs="Arial"/>
          <w:b/>
          <w:smallCaps/>
          <w:highlight w:val="yellow"/>
        </w:rPr>
        <w:t>[_______________]</w:t>
      </w:r>
    </w:p>
    <w:p w:rsidR="0079779A" w:rsidRDefault="0079779A" w14:paraId="5995AAC8" w14:textId="77777777">
      <w:pPr>
        <w:spacing w:before="240" w:after="240"/>
        <w:jc w:val="center"/>
        <w:rPr>
          <w:rFonts w:cs="Arial"/>
          <w:b/>
          <w:smallCaps/>
        </w:rPr>
      </w:pPr>
    </w:p>
    <w:p w:rsidR="0079779A" w:rsidRDefault="0079779A" w14:paraId="5DC5AF2B" w14:textId="77777777">
      <w:pPr>
        <w:spacing w:before="240" w:after="240"/>
        <w:jc w:val="center"/>
        <w:rPr>
          <w:rFonts w:cs="Arial"/>
          <w:b/>
          <w:smallCaps/>
        </w:rPr>
      </w:pPr>
    </w:p>
    <w:p w:rsidR="0079779A" w:rsidRDefault="0079779A" w14:paraId="03DDEFC6" w14:textId="77777777">
      <w:pPr>
        <w:spacing w:before="240" w:after="240"/>
        <w:jc w:val="center"/>
        <w:rPr>
          <w:rFonts w:cs="Arial"/>
          <w:b/>
          <w:smallCaps/>
        </w:rPr>
      </w:pPr>
    </w:p>
    <w:p w:rsidR="0079779A" w:rsidRDefault="0079779A" w14:paraId="744428A9" w14:textId="77777777">
      <w:pPr>
        <w:spacing w:before="240" w:after="240"/>
        <w:jc w:val="center"/>
        <w:rPr>
          <w:rFonts w:cs="Arial"/>
          <w:b/>
          <w:smallCaps/>
        </w:rPr>
      </w:pPr>
    </w:p>
    <w:p w:rsidR="0079779A" w:rsidRDefault="003E5439" w14:paraId="75D8E243" w14:textId="77777777">
      <w:pPr>
        <w:keepLines/>
        <w:spacing w:after="240"/>
        <w:jc w:val="center"/>
        <w:rPr>
          <w:rFonts w:cs="Arial"/>
        </w:rPr>
      </w:pPr>
      <w:r>
        <w:rPr>
          <w:rFonts w:cs="Arial"/>
        </w:rPr>
        <w:t xml:space="preserve">                 </w:t>
      </w:r>
      <w:r>
        <w:rPr>
          <w:rFonts w:cs="Arial"/>
          <w:noProof/>
        </w:rPr>
        <w:drawing>
          <wp:inline distT="0" distB="0" distL="0" distR="0" wp14:anchorId="3D0D9621" wp14:editId="4D453B24">
            <wp:extent cx="3304540" cy="607695"/>
            <wp:effectExtent l="0" t="0" r="0" b="1905"/>
            <wp:docPr id="1" name="Picture 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04540" cy="607695"/>
                    </a:xfrm>
                    <a:prstGeom prst="rect">
                      <a:avLst/>
                    </a:prstGeom>
                    <a:noFill/>
                    <a:ln>
                      <a:noFill/>
                    </a:ln>
                  </pic:spPr>
                </pic:pic>
              </a:graphicData>
            </a:graphic>
          </wp:inline>
        </w:drawing>
      </w:r>
    </w:p>
    <w:p w:rsidR="0079779A" w:rsidRDefault="0079779A" w14:paraId="1C6D22BF" w14:textId="77777777">
      <w:pPr>
        <w:rPr>
          <w:rFonts w:cs="Arial"/>
        </w:rPr>
      </w:pPr>
    </w:p>
    <w:p w:rsidR="0079779A" w:rsidRDefault="0079779A" w14:paraId="21DABD59" w14:textId="77777777">
      <w:pPr>
        <w:rPr>
          <w:rFonts w:cs="Arial"/>
        </w:rPr>
      </w:pPr>
    </w:p>
    <w:p w:rsidR="0079779A" w:rsidRDefault="0079779A" w14:paraId="5F9ECF81" w14:textId="77777777">
      <w:pPr>
        <w:rPr>
          <w:rFonts w:cs="Arial"/>
        </w:rPr>
      </w:pPr>
    </w:p>
    <w:p w:rsidR="0079779A" w:rsidRDefault="003E5439" w14:paraId="6A8B6F56" w14:textId="77777777">
      <w:pPr>
        <w:jc w:val="center"/>
        <w:rPr>
          <w:rFonts w:cs="Arial"/>
          <w:b/>
        </w:rPr>
        <w:sectPr w:rsidR="0079779A">
          <w:headerReference w:type="even" r:id="rId12"/>
          <w:headerReference w:type="default" r:id="rId13"/>
          <w:footerReference w:type="even" r:id="rId14"/>
          <w:footerReference w:type="default" r:id="rId15"/>
          <w:headerReference w:type="first" r:id="rId16"/>
          <w:footerReference w:type="first" r:id="rId17"/>
          <w:pgSz w:w="12240" w:h="15840" w:code="1"/>
          <w:pgMar w:top="1584" w:right="1440" w:bottom="1440" w:left="1440" w:header="1440" w:footer="576" w:gutter="0"/>
          <w:pgNumType w:fmt="lowerRoman" w:start="1"/>
          <w:cols w:space="720"/>
          <w:titlePg/>
        </w:sectPr>
      </w:pPr>
      <w:r>
        <w:rPr>
          <w:rFonts w:cs="Arial"/>
          <w:b/>
        </w:rPr>
        <w:t>- [</w:t>
      </w:r>
      <w:r>
        <w:rPr>
          <w:rFonts w:cs="Arial"/>
          <w:b/>
          <w:highlight w:val="yellow"/>
        </w:rPr>
        <w:t>date</w:t>
      </w:r>
      <w:r>
        <w:rPr>
          <w:rFonts w:cs="Arial"/>
          <w:b/>
        </w:rPr>
        <w:t>] -</w:t>
      </w:r>
      <w:bookmarkStart w:name="_Hlk66820504" w:id="1"/>
    </w:p>
    <w:bookmarkEnd w:id="1"/>
    <w:p w:rsidR="0079779A" w:rsidRDefault="003E5439" w14:paraId="023B3087" w14:textId="77777777">
      <w:pPr>
        <w:keepNext/>
        <w:keepLines/>
        <w:tabs>
          <w:tab w:val="right" w:leader="dot" w:pos="9288"/>
        </w:tabs>
        <w:ind w:left="1320" w:right="720" w:hanging="1320"/>
        <w:jc w:val="center"/>
        <w:rPr>
          <w:rFonts w:cs="Arial"/>
          <w:b/>
          <w:smallCaps/>
        </w:rPr>
      </w:pPr>
      <w:r>
        <w:rPr>
          <w:rFonts w:cs="Arial"/>
          <w:b/>
          <w:smallCaps/>
        </w:rPr>
        <w:lastRenderedPageBreak/>
        <w:t>TABLE OF CONTENTS</w:t>
      </w:r>
    </w:p>
    <w:p w:rsidR="0079779A" w:rsidRDefault="003E5439" w14:paraId="33C16F4E" w14:textId="77777777">
      <w:pPr>
        <w:keepNext/>
        <w:keepLines/>
        <w:tabs>
          <w:tab w:val="right" w:leader="dot" w:pos="9288"/>
        </w:tabs>
        <w:ind w:left="1440" w:hanging="1440"/>
        <w:jc w:val="right"/>
        <w:rPr>
          <w:rFonts w:cs="Arial"/>
          <w:b/>
          <w:smallCaps/>
        </w:rPr>
      </w:pPr>
      <w:r>
        <w:rPr>
          <w:rFonts w:cs="Arial"/>
          <w:b/>
          <w:smallCaps/>
        </w:rPr>
        <w:t>Page</w:t>
      </w:r>
    </w:p>
    <w:bookmarkStart w:name="mpTableOfContents" w:id="2"/>
    <w:p w:rsidR="005632D0" w:rsidRDefault="003E5439" w14:paraId="06D77780" w14:textId="31541E96">
      <w:pPr>
        <w:pStyle w:val="TOC1"/>
        <w:rPr>
          <w:rFonts w:asciiTheme="minorHAnsi" w:hAnsiTheme="minorHAnsi" w:eastAsiaTheme="minorEastAsia" w:cstheme="minorBidi"/>
          <w:b w:val="0"/>
          <w:noProof/>
          <w:sz w:val="22"/>
          <w:szCs w:val="22"/>
        </w:rPr>
      </w:pPr>
      <w:r>
        <w:rPr>
          <w:szCs w:val="24"/>
        </w:rPr>
        <w:fldChar w:fldCharType="begin"/>
      </w:r>
      <w:r>
        <w:rPr>
          <w:szCs w:val="24"/>
        </w:rPr>
        <w:instrText xml:space="preserve"> TOC \f \h \z </w:instrText>
      </w:r>
      <w:r>
        <w:rPr>
          <w:szCs w:val="24"/>
        </w:rPr>
        <w:fldChar w:fldCharType="separate"/>
      </w:r>
      <w:hyperlink w:history="1" w:anchor="_Toc119238888">
        <w:r w:rsidRPr="003B7A92" w:rsidR="005632D0">
          <w:rPr>
            <w:rStyle w:val="Hyperlink"/>
            <w:noProof/>
          </w:rPr>
          <w:t>Article 1 - Rules of Interpretation</w:t>
        </w:r>
        <w:r w:rsidR="005632D0">
          <w:rPr>
            <w:noProof/>
            <w:webHidden/>
          </w:rPr>
          <w:tab/>
        </w:r>
        <w:r w:rsidR="005632D0">
          <w:rPr>
            <w:noProof/>
            <w:webHidden/>
          </w:rPr>
          <w:fldChar w:fldCharType="begin"/>
        </w:r>
        <w:r w:rsidR="005632D0">
          <w:rPr>
            <w:noProof/>
            <w:webHidden/>
          </w:rPr>
          <w:instrText xml:space="preserve"> PAGEREF _Toc119238888 \h </w:instrText>
        </w:r>
        <w:r w:rsidR="005632D0">
          <w:rPr>
            <w:noProof/>
            <w:webHidden/>
          </w:rPr>
        </w:r>
        <w:r w:rsidR="005632D0">
          <w:rPr>
            <w:noProof/>
            <w:webHidden/>
          </w:rPr>
          <w:fldChar w:fldCharType="separate"/>
        </w:r>
        <w:r w:rsidR="005632D0">
          <w:rPr>
            <w:noProof/>
            <w:webHidden/>
          </w:rPr>
          <w:t>1</w:t>
        </w:r>
        <w:r w:rsidR="005632D0">
          <w:rPr>
            <w:noProof/>
            <w:webHidden/>
          </w:rPr>
          <w:fldChar w:fldCharType="end"/>
        </w:r>
      </w:hyperlink>
    </w:p>
    <w:p w:rsidR="005632D0" w:rsidRDefault="00510665" w14:paraId="13102F7D" w14:textId="294415CB">
      <w:pPr>
        <w:pStyle w:val="TOC2"/>
        <w:rPr>
          <w:rFonts w:asciiTheme="minorHAnsi" w:hAnsiTheme="minorHAnsi" w:eastAsiaTheme="minorEastAsia" w:cstheme="minorBidi"/>
          <w:noProof/>
          <w:sz w:val="22"/>
          <w:szCs w:val="22"/>
        </w:rPr>
      </w:pPr>
      <w:hyperlink w:history="1" w:anchor="_Toc119238889">
        <w:r w:rsidRPr="003B7A92" w:rsidR="005632D0">
          <w:rPr>
            <w:rStyle w:val="Hyperlink"/>
            <w:noProof/>
          </w:rPr>
          <w:t>1.1</w:t>
        </w:r>
        <w:r w:rsidR="005632D0">
          <w:rPr>
            <w:rFonts w:asciiTheme="minorHAnsi" w:hAnsiTheme="minorHAnsi" w:eastAsiaTheme="minorEastAsia" w:cstheme="minorBidi"/>
            <w:noProof/>
            <w:sz w:val="22"/>
            <w:szCs w:val="22"/>
          </w:rPr>
          <w:tab/>
        </w:r>
        <w:r w:rsidRPr="003B7A92" w:rsidR="005632D0">
          <w:rPr>
            <w:rStyle w:val="Hyperlink"/>
            <w:noProof/>
          </w:rPr>
          <w:t>Interpretation</w:t>
        </w:r>
        <w:r w:rsidR="005632D0">
          <w:rPr>
            <w:noProof/>
            <w:webHidden/>
          </w:rPr>
          <w:tab/>
        </w:r>
        <w:r w:rsidR="005632D0">
          <w:rPr>
            <w:noProof/>
            <w:webHidden/>
          </w:rPr>
          <w:fldChar w:fldCharType="begin"/>
        </w:r>
        <w:r w:rsidR="005632D0">
          <w:rPr>
            <w:noProof/>
            <w:webHidden/>
          </w:rPr>
          <w:instrText xml:space="preserve"> PAGEREF _Toc119238889 \h </w:instrText>
        </w:r>
        <w:r w:rsidR="005632D0">
          <w:rPr>
            <w:noProof/>
            <w:webHidden/>
          </w:rPr>
        </w:r>
        <w:r w:rsidR="005632D0">
          <w:rPr>
            <w:noProof/>
            <w:webHidden/>
          </w:rPr>
          <w:fldChar w:fldCharType="separate"/>
        </w:r>
        <w:r w:rsidR="005632D0">
          <w:rPr>
            <w:noProof/>
            <w:webHidden/>
          </w:rPr>
          <w:t>1</w:t>
        </w:r>
        <w:r w:rsidR="005632D0">
          <w:rPr>
            <w:noProof/>
            <w:webHidden/>
          </w:rPr>
          <w:fldChar w:fldCharType="end"/>
        </w:r>
      </w:hyperlink>
    </w:p>
    <w:p w:rsidR="005632D0" w:rsidRDefault="00510665" w14:paraId="6EFA8B8A" w14:textId="2B45396F">
      <w:pPr>
        <w:pStyle w:val="TOC2"/>
        <w:rPr>
          <w:rFonts w:asciiTheme="minorHAnsi" w:hAnsiTheme="minorHAnsi" w:eastAsiaTheme="minorEastAsia" w:cstheme="minorBidi"/>
          <w:noProof/>
          <w:sz w:val="22"/>
          <w:szCs w:val="22"/>
        </w:rPr>
      </w:pPr>
      <w:hyperlink w:history="1" w:anchor="_Toc119238890">
        <w:r w:rsidRPr="003B7A92" w:rsidR="005632D0">
          <w:rPr>
            <w:rStyle w:val="Hyperlink"/>
            <w:noProof/>
          </w:rPr>
          <w:t>1.2</w:t>
        </w:r>
        <w:r w:rsidR="005632D0">
          <w:rPr>
            <w:rFonts w:asciiTheme="minorHAnsi" w:hAnsiTheme="minorHAnsi" w:eastAsiaTheme="minorEastAsia" w:cstheme="minorBidi"/>
            <w:noProof/>
            <w:sz w:val="22"/>
            <w:szCs w:val="22"/>
          </w:rPr>
          <w:tab/>
        </w:r>
        <w:r w:rsidRPr="003B7A92" w:rsidR="005632D0">
          <w:rPr>
            <w:rStyle w:val="Hyperlink"/>
            <w:noProof/>
          </w:rPr>
          <w:t>Interpretation with Other Agreements</w:t>
        </w:r>
        <w:r w:rsidR="005632D0">
          <w:rPr>
            <w:noProof/>
            <w:webHidden/>
          </w:rPr>
          <w:tab/>
        </w:r>
        <w:r w:rsidR="005632D0">
          <w:rPr>
            <w:noProof/>
            <w:webHidden/>
          </w:rPr>
          <w:fldChar w:fldCharType="begin"/>
        </w:r>
        <w:r w:rsidR="005632D0">
          <w:rPr>
            <w:noProof/>
            <w:webHidden/>
          </w:rPr>
          <w:instrText xml:space="preserve"> PAGEREF _Toc119238890 \h </w:instrText>
        </w:r>
        <w:r w:rsidR="005632D0">
          <w:rPr>
            <w:noProof/>
            <w:webHidden/>
          </w:rPr>
        </w:r>
        <w:r w:rsidR="005632D0">
          <w:rPr>
            <w:noProof/>
            <w:webHidden/>
          </w:rPr>
          <w:fldChar w:fldCharType="separate"/>
        </w:r>
        <w:r w:rsidR="005632D0">
          <w:rPr>
            <w:noProof/>
            <w:webHidden/>
          </w:rPr>
          <w:t>2</w:t>
        </w:r>
        <w:r w:rsidR="005632D0">
          <w:rPr>
            <w:noProof/>
            <w:webHidden/>
          </w:rPr>
          <w:fldChar w:fldCharType="end"/>
        </w:r>
      </w:hyperlink>
    </w:p>
    <w:p w:rsidR="005632D0" w:rsidRDefault="00510665" w14:paraId="1CC8267B" w14:textId="2EECD268">
      <w:pPr>
        <w:pStyle w:val="TOC2"/>
        <w:rPr>
          <w:rFonts w:asciiTheme="minorHAnsi" w:hAnsiTheme="minorHAnsi" w:eastAsiaTheme="minorEastAsia" w:cstheme="minorBidi"/>
          <w:noProof/>
          <w:sz w:val="22"/>
          <w:szCs w:val="22"/>
        </w:rPr>
      </w:pPr>
      <w:hyperlink w:history="1" w:anchor="_Toc119238891">
        <w:r w:rsidRPr="003B7A92" w:rsidR="005632D0">
          <w:rPr>
            <w:rStyle w:val="Hyperlink"/>
            <w:noProof/>
          </w:rPr>
          <w:t>1.3</w:t>
        </w:r>
        <w:r w:rsidR="005632D0">
          <w:rPr>
            <w:rFonts w:asciiTheme="minorHAnsi" w:hAnsiTheme="minorHAnsi" w:eastAsiaTheme="minorEastAsia" w:cstheme="minorBidi"/>
            <w:noProof/>
            <w:sz w:val="22"/>
            <w:szCs w:val="22"/>
          </w:rPr>
          <w:tab/>
        </w:r>
        <w:r w:rsidRPr="003B7A92" w:rsidR="005632D0">
          <w:rPr>
            <w:rStyle w:val="Hyperlink"/>
            <w:noProof/>
          </w:rPr>
          <w:t>Good Faith and Fair Dealing</w:t>
        </w:r>
        <w:r w:rsidR="005632D0">
          <w:rPr>
            <w:noProof/>
            <w:webHidden/>
          </w:rPr>
          <w:tab/>
        </w:r>
        <w:r w:rsidR="005632D0">
          <w:rPr>
            <w:noProof/>
            <w:webHidden/>
          </w:rPr>
          <w:fldChar w:fldCharType="begin"/>
        </w:r>
        <w:r w:rsidR="005632D0">
          <w:rPr>
            <w:noProof/>
            <w:webHidden/>
          </w:rPr>
          <w:instrText xml:space="preserve"> PAGEREF _Toc119238891 \h </w:instrText>
        </w:r>
        <w:r w:rsidR="005632D0">
          <w:rPr>
            <w:noProof/>
            <w:webHidden/>
          </w:rPr>
        </w:r>
        <w:r w:rsidR="005632D0">
          <w:rPr>
            <w:noProof/>
            <w:webHidden/>
          </w:rPr>
          <w:fldChar w:fldCharType="separate"/>
        </w:r>
        <w:r w:rsidR="005632D0">
          <w:rPr>
            <w:noProof/>
            <w:webHidden/>
          </w:rPr>
          <w:t>2</w:t>
        </w:r>
        <w:r w:rsidR="005632D0">
          <w:rPr>
            <w:noProof/>
            <w:webHidden/>
          </w:rPr>
          <w:fldChar w:fldCharType="end"/>
        </w:r>
      </w:hyperlink>
    </w:p>
    <w:p w:rsidR="005632D0" w:rsidRDefault="00510665" w14:paraId="457909C9" w14:textId="5491DD3D">
      <w:pPr>
        <w:pStyle w:val="TOC1"/>
        <w:rPr>
          <w:rFonts w:asciiTheme="minorHAnsi" w:hAnsiTheme="minorHAnsi" w:eastAsiaTheme="minorEastAsia" w:cstheme="minorBidi"/>
          <w:b w:val="0"/>
          <w:noProof/>
          <w:sz w:val="22"/>
          <w:szCs w:val="22"/>
        </w:rPr>
      </w:pPr>
      <w:hyperlink w:history="1" w:anchor="_Toc119238892">
        <w:r w:rsidRPr="003B7A92" w:rsidR="005632D0">
          <w:rPr>
            <w:rStyle w:val="Hyperlink"/>
            <w:noProof/>
          </w:rPr>
          <w:t>Article 2 – Term and Termination</w:t>
        </w:r>
        <w:r w:rsidR="005632D0">
          <w:rPr>
            <w:noProof/>
            <w:webHidden/>
          </w:rPr>
          <w:tab/>
        </w:r>
        <w:r w:rsidR="005632D0">
          <w:rPr>
            <w:noProof/>
            <w:webHidden/>
          </w:rPr>
          <w:fldChar w:fldCharType="begin"/>
        </w:r>
        <w:r w:rsidR="005632D0">
          <w:rPr>
            <w:noProof/>
            <w:webHidden/>
          </w:rPr>
          <w:instrText xml:space="preserve"> PAGEREF _Toc119238892 \h </w:instrText>
        </w:r>
        <w:r w:rsidR="005632D0">
          <w:rPr>
            <w:noProof/>
            <w:webHidden/>
          </w:rPr>
        </w:r>
        <w:r w:rsidR="005632D0">
          <w:rPr>
            <w:noProof/>
            <w:webHidden/>
          </w:rPr>
          <w:fldChar w:fldCharType="separate"/>
        </w:r>
        <w:r w:rsidR="005632D0">
          <w:rPr>
            <w:noProof/>
            <w:webHidden/>
          </w:rPr>
          <w:t>2</w:t>
        </w:r>
        <w:r w:rsidR="005632D0">
          <w:rPr>
            <w:noProof/>
            <w:webHidden/>
          </w:rPr>
          <w:fldChar w:fldCharType="end"/>
        </w:r>
      </w:hyperlink>
    </w:p>
    <w:p w:rsidR="005632D0" w:rsidRDefault="00510665" w14:paraId="4F793A56" w14:textId="44B5A85A">
      <w:pPr>
        <w:pStyle w:val="TOC1"/>
        <w:rPr>
          <w:rFonts w:asciiTheme="minorHAnsi" w:hAnsiTheme="minorHAnsi" w:eastAsiaTheme="minorEastAsia" w:cstheme="minorBidi"/>
          <w:b w:val="0"/>
          <w:noProof/>
          <w:sz w:val="22"/>
          <w:szCs w:val="22"/>
        </w:rPr>
      </w:pPr>
      <w:hyperlink w:history="1" w:anchor="_Toc119238893">
        <w:r w:rsidRPr="003B7A92" w:rsidR="005632D0">
          <w:rPr>
            <w:rStyle w:val="Hyperlink"/>
            <w:noProof/>
          </w:rPr>
          <w:t>Article 3 – Facility Description</w:t>
        </w:r>
        <w:r w:rsidR="005632D0">
          <w:rPr>
            <w:noProof/>
            <w:webHidden/>
          </w:rPr>
          <w:tab/>
        </w:r>
        <w:r w:rsidR="005632D0">
          <w:rPr>
            <w:noProof/>
            <w:webHidden/>
          </w:rPr>
          <w:fldChar w:fldCharType="begin"/>
        </w:r>
        <w:r w:rsidR="005632D0">
          <w:rPr>
            <w:noProof/>
            <w:webHidden/>
          </w:rPr>
          <w:instrText xml:space="preserve"> PAGEREF _Toc119238893 \h </w:instrText>
        </w:r>
        <w:r w:rsidR="005632D0">
          <w:rPr>
            <w:noProof/>
            <w:webHidden/>
          </w:rPr>
        </w:r>
        <w:r w:rsidR="005632D0">
          <w:rPr>
            <w:noProof/>
            <w:webHidden/>
          </w:rPr>
          <w:fldChar w:fldCharType="separate"/>
        </w:r>
        <w:r w:rsidR="005632D0">
          <w:rPr>
            <w:noProof/>
            <w:webHidden/>
          </w:rPr>
          <w:t>3</w:t>
        </w:r>
        <w:r w:rsidR="005632D0">
          <w:rPr>
            <w:noProof/>
            <w:webHidden/>
          </w:rPr>
          <w:fldChar w:fldCharType="end"/>
        </w:r>
      </w:hyperlink>
    </w:p>
    <w:p w:rsidR="005632D0" w:rsidRDefault="00510665" w14:paraId="78BFD8AB" w14:textId="543BFC84">
      <w:pPr>
        <w:pStyle w:val="TOC2"/>
        <w:rPr>
          <w:rFonts w:asciiTheme="minorHAnsi" w:hAnsiTheme="minorHAnsi" w:eastAsiaTheme="minorEastAsia" w:cstheme="minorBidi"/>
          <w:noProof/>
          <w:sz w:val="22"/>
          <w:szCs w:val="22"/>
        </w:rPr>
      </w:pPr>
      <w:hyperlink w:history="1" w:anchor="_Toc119238894">
        <w:r w:rsidRPr="003B7A92" w:rsidR="005632D0">
          <w:rPr>
            <w:rStyle w:val="Hyperlink"/>
            <w:noProof/>
          </w:rPr>
          <w:t>3.1</w:t>
        </w:r>
        <w:r w:rsidR="005632D0">
          <w:rPr>
            <w:rFonts w:asciiTheme="minorHAnsi" w:hAnsiTheme="minorHAnsi" w:eastAsiaTheme="minorEastAsia" w:cstheme="minorBidi"/>
            <w:noProof/>
            <w:sz w:val="22"/>
            <w:szCs w:val="22"/>
          </w:rPr>
          <w:tab/>
        </w:r>
        <w:r w:rsidRPr="003B7A92" w:rsidR="005632D0">
          <w:rPr>
            <w:rStyle w:val="Hyperlink"/>
            <w:noProof/>
          </w:rPr>
          <w:t>Description</w:t>
        </w:r>
        <w:r w:rsidR="005632D0">
          <w:rPr>
            <w:noProof/>
            <w:webHidden/>
          </w:rPr>
          <w:tab/>
        </w:r>
        <w:r w:rsidR="005632D0">
          <w:rPr>
            <w:noProof/>
            <w:webHidden/>
          </w:rPr>
          <w:fldChar w:fldCharType="begin"/>
        </w:r>
        <w:r w:rsidR="005632D0">
          <w:rPr>
            <w:noProof/>
            <w:webHidden/>
          </w:rPr>
          <w:instrText xml:space="preserve"> PAGEREF _Toc119238894 \h </w:instrText>
        </w:r>
        <w:r w:rsidR="005632D0">
          <w:rPr>
            <w:noProof/>
            <w:webHidden/>
          </w:rPr>
        </w:r>
        <w:r w:rsidR="005632D0">
          <w:rPr>
            <w:noProof/>
            <w:webHidden/>
          </w:rPr>
          <w:fldChar w:fldCharType="separate"/>
        </w:r>
        <w:r w:rsidR="005632D0">
          <w:rPr>
            <w:noProof/>
            <w:webHidden/>
          </w:rPr>
          <w:t>3</w:t>
        </w:r>
        <w:r w:rsidR="005632D0">
          <w:rPr>
            <w:noProof/>
            <w:webHidden/>
          </w:rPr>
          <w:fldChar w:fldCharType="end"/>
        </w:r>
      </w:hyperlink>
    </w:p>
    <w:p w:rsidR="005632D0" w:rsidRDefault="00510665" w14:paraId="72E819BF" w14:textId="49E936B0">
      <w:pPr>
        <w:pStyle w:val="TOC2"/>
        <w:rPr>
          <w:rFonts w:asciiTheme="minorHAnsi" w:hAnsiTheme="minorHAnsi" w:eastAsiaTheme="minorEastAsia" w:cstheme="minorBidi"/>
          <w:noProof/>
          <w:sz w:val="22"/>
          <w:szCs w:val="22"/>
        </w:rPr>
      </w:pPr>
      <w:hyperlink w:history="1" w:anchor="_Toc119238895">
        <w:r w:rsidRPr="003B7A92" w:rsidR="005632D0">
          <w:rPr>
            <w:rStyle w:val="Hyperlink"/>
            <w:noProof/>
          </w:rPr>
          <w:t>3.2</w:t>
        </w:r>
        <w:r w:rsidR="005632D0">
          <w:rPr>
            <w:rFonts w:asciiTheme="minorHAnsi" w:hAnsiTheme="minorHAnsi" w:eastAsiaTheme="minorEastAsia" w:cstheme="minorBidi"/>
            <w:noProof/>
            <w:sz w:val="22"/>
            <w:szCs w:val="22"/>
          </w:rPr>
          <w:tab/>
        </w:r>
        <w:r w:rsidRPr="003B7A92" w:rsidR="005632D0">
          <w:rPr>
            <w:rStyle w:val="Hyperlink"/>
            <w:noProof/>
          </w:rPr>
          <w:t>General Design of the Facility</w:t>
        </w:r>
        <w:r w:rsidR="005632D0">
          <w:rPr>
            <w:noProof/>
            <w:webHidden/>
          </w:rPr>
          <w:tab/>
        </w:r>
        <w:r w:rsidR="005632D0">
          <w:rPr>
            <w:noProof/>
            <w:webHidden/>
          </w:rPr>
          <w:fldChar w:fldCharType="begin"/>
        </w:r>
        <w:r w:rsidR="005632D0">
          <w:rPr>
            <w:noProof/>
            <w:webHidden/>
          </w:rPr>
          <w:instrText xml:space="preserve"> PAGEREF _Toc119238895 \h </w:instrText>
        </w:r>
        <w:r w:rsidR="005632D0">
          <w:rPr>
            <w:noProof/>
            <w:webHidden/>
          </w:rPr>
        </w:r>
        <w:r w:rsidR="005632D0">
          <w:rPr>
            <w:noProof/>
            <w:webHidden/>
          </w:rPr>
          <w:fldChar w:fldCharType="separate"/>
        </w:r>
        <w:r w:rsidR="005632D0">
          <w:rPr>
            <w:noProof/>
            <w:webHidden/>
          </w:rPr>
          <w:t>3</w:t>
        </w:r>
        <w:r w:rsidR="005632D0">
          <w:rPr>
            <w:noProof/>
            <w:webHidden/>
          </w:rPr>
          <w:fldChar w:fldCharType="end"/>
        </w:r>
      </w:hyperlink>
    </w:p>
    <w:p w:rsidR="005632D0" w:rsidRDefault="00510665" w14:paraId="4D309784" w14:textId="16D38104">
      <w:pPr>
        <w:pStyle w:val="TOC1"/>
        <w:rPr>
          <w:rFonts w:asciiTheme="minorHAnsi" w:hAnsiTheme="minorHAnsi" w:eastAsiaTheme="minorEastAsia" w:cstheme="minorBidi"/>
          <w:b w:val="0"/>
          <w:noProof/>
          <w:sz w:val="22"/>
          <w:szCs w:val="22"/>
        </w:rPr>
      </w:pPr>
      <w:hyperlink w:history="1" w:anchor="_Toc119238896">
        <w:r w:rsidRPr="003B7A92" w:rsidR="005632D0">
          <w:rPr>
            <w:rStyle w:val="Hyperlink"/>
            <w:noProof/>
          </w:rPr>
          <w:t>Article 4 - Implementation</w:t>
        </w:r>
        <w:r w:rsidR="005632D0">
          <w:rPr>
            <w:noProof/>
            <w:webHidden/>
          </w:rPr>
          <w:tab/>
        </w:r>
        <w:r w:rsidR="005632D0">
          <w:rPr>
            <w:noProof/>
            <w:webHidden/>
          </w:rPr>
          <w:fldChar w:fldCharType="begin"/>
        </w:r>
        <w:r w:rsidR="005632D0">
          <w:rPr>
            <w:noProof/>
            <w:webHidden/>
          </w:rPr>
          <w:instrText xml:space="preserve"> PAGEREF _Toc119238896 \h </w:instrText>
        </w:r>
        <w:r w:rsidR="005632D0">
          <w:rPr>
            <w:noProof/>
            <w:webHidden/>
          </w:rPr>
        </w:r>
        <w:r w:rsidR="005632D0">
          <w:rPr>
            <w:noProof/>
            <w:webHidden/>
          </w:rPr>
          <w:fldChar w:fldCharType="separate"/>
        </w:r>
        <w:r w:rsidR="005632D0">
          <w:rPr>
            <w:noProof/>
            <w:webHidden/>
          </w:rPr>
          <w:t>3</w:t>
        </w:r>
        <w:r w:rsidR="005632D0">
          <w:rPr>
            <w:noProof/>
            <w:webHidden/>
          </w:rPr>
          <w:fldChar w:fldCharType="end"/>
        </w:r>
      </w:hyperlink>
    </w:p>
    <w:p w:rsidR="005632D0" w:rsidRDefault="00510665" w14:paraId="5C3188C7" w14:textId="613923DD">
      <w:pPr>
        <w:pStyle w:val="TOC2"/>
        <w:rPr>
          <w:rFonts w:asciiTheme="minorHAnsi" w:hAnsiTheme="minorHAnsi" w:eastAsiaTheme="minorEastAsia" w:cstheme="minorBidi"/>
          <w:noProof/>
          <w:sz w:val="22"/>
          <w:szCs w:val="22"/>
        </w:rPr>
      </w:pPr>
      <w:hyperlink w:history="1" w:anchor="_Toc119238897">
        <w:r w:rsidRPr="003B7A92" w:rsidR="005632D0">
          <w:rPr>
            <w:rStyle w:val="Hyperlink"/>
            <w:noProof/>
          </w:rPr>
          <w:t>4.1</w:t>
        </w:r>
        <w:r w:rsidR="005632D0">
          <w:rPr>
            <w:rFonts w:asciiTheme="minorHAnsi" w:hAnsiTheme="minorHAnsi" w:eastAsiaTheme="minorEastAsia" w:cstheme="minorBidi"/>
            <w:noProof/>
            <w:sz w:val="22"/>
            <w:szCs w:val="22"/>
          </w:rPr>
          <w:tab/>
        </w:r>
        <w:r w:rsidRPr="003B7A92" w:rsidR="005632D0">
          <w:rPr>
            <w:rStyle w:val="Hyperlink"/>
            <w:noProof/>
          </w:rPr>
          <w:t>Project Development</w:t>
        </w:r>
        <w:r w:rsidR="005632D0">
          <w:rPr>
            <w:noProof/>
            <w:webHidden/>
          </w:rPr>
          <w:tab/>
        </w:r>
        <w:r w:rsidR="005632D0">
          <w:rPr>
            <w:noProof/>
            <w:webHidden/>
          </w:rPr>
          <w:fldChar w:fldCharType="begin"/>
        </w:r>
        <w:r w:rsidR="005632D0">
          <w:rPr>
            <w:noProof/>
            <w:webHidden/>
          </w:rPr>
          <w:instrText xml:space="preserve"> PAGEREF _Toc119238897 \h </w:instrText>
        </w:r>
        <w:r w:rsidR="005632D0">
          <w:rPr>
            <w:noProof/>
            <w:webHidden/>
          </w:rPr>
        </w:r>
        <w:r w:rsidR="005632D0">
          <w:rPr>
            <w:noProof/>
            <w:webHidden/>
          </w:rPr>
          <w:fldChar w:fldCharType="separate"/>
        </w:r>
        <w:r w:rsidR="005632D0">
          <w:rPr>
            <w:noProof/>
            <w:webHidden/>
          </w:rPr>
          <w:t>3</w:t>
        </w:r>
        <w:r w:rsidR="005632D0">
          <w:rPr>
            <w:noProof/>
            <w:webHidden/>
          </w:rPr>
          <w:fldChar w:fldCharType="end"/>
        </w:r>
      </w:hyperlink>
    </w:p>
    <w:p w:rsidR="005632D0" w:rsidRDefault="00510665" w14:paraId="735934B9" w14:textId="4A446E22">
      <w:pPr>
        <w:pStyle w:val="TOC2"/>
        <w:rPr>
          <w:rFonts w:asciiTheme="minorHAnsi" w:hAnsiTheme="minorHAnsi" w:eastAsiaTheme="minorEastAsia" w:cstheme="minorBidi"/>
          <w:noProof/>
          <w:sz w:val="22"/>
          <w:szCs w:val="22"/>
        </w:rPr>
      </w:pPr>
      <w:hyperlink w:history="1" w:anchor="_Toc119238898">
        <w:r w:rsidRPr="003B7A92" w:rsidR="005632D0">
          <w:rPr>
            <w:rStyle w:val="Hyperlink"/>
            <w:noProof/>
          </w:rPr>
          <w:t>4.2</w:t>
        </w:r>
        <w:r w:rsidR="005632D0">
          <w:rPr>
            <w:rFonts w:asciiTheme="minorHAnsi" w:hAnsiTheme="minorHAnsi" w:eastAsiaTheme="minorEastAsia" w:cstheme="minorBidi"/>
            <w:noProof/>
            <w:sz w:val="22"/>
            <w:szCs w:val="22"/>
          </w:rPr>
          <w:tab/>
        </w:r>
        <w:r w:rsidRPr="003B7A92" w:rsidR="005632D0">
          <w:rPr>
            <w:rStyle w:val="Hyperlink"/>
            <w:noProof/>
          </w:rPr>
          <w:t>Environmental Matters</w:t>
        </w:r>
        <w:r w:rsidR="005632D0">
          <w:rPr>
            <w:noProof/>
            <w:webHidden/>
          </w:rPr>
          <w:tab/>
        </w:r>
        <w:r w:rsidR="005632D0">
          <w:rPr>
            <w:noProof/>
            <w:webHidden/>
          </w:rPr>
          <w:fldChar w:fldCharType="begin"/>
        </w:r>
        <w:r w:rsidR="005632D0">
          <w:rPr>
            <w:noProof/>
            <w:webHidden/>
          </w:rPr>
          <w:instrText xml:space="preserve"> PAGEREF _Toc119238898 \h </w:instrText>
        </w:r>
        <w:r w:rsidR="005632D0">
          <w:rPr>
            <w:noProof/>
            <w:webHidden/>
          </w:rPr>
        </w:r>
        <w:r w:rsidR="005632D0">
          <w:rPr>
            <w:noProof/>
            <w:webHidden/>
          </w:rPr>
          <w:fldChar w:fldCharType="separate"/>
        </w:r>
        <w:r w:rsidR="005632D0">
          <w:rPr>
            <w:noProof/>
            <w:webHidden/>
          </w:rPr>
          <w:t>4</w:t>
        </w:r>
        <w:r w:rsidR="005632D0">
          <w:rPr>
            <w:noProof/>
            <w:webHidden/>
          </w:rPr>
          <w:fldChar w:fldCharType="end"/>
        </w:r>
      </w:hyperlink>
    </w:p>
    <w:p w:rsidR="005632D0" w:rsidRDefault="00510665" w14:paraId="404895C4" w14:textId="092CB740">
      <w:pPr>
        <w:pStyle w:val="TOC2"/>
        <w:rPr>
          <w:rFonts w:asciiTheme="minorHAnsi" w:hAnsiTheme="minorHAnsi" w:eastAsiaTheme="minorEastAsia" w:cstheme="minorBidi"/>
          <w:noProof/>
          <w:sz w:val="22"/>
          <w:szCs w:val="22"/>
        </w:rPr>
      </w:pPr>
      <w:hyperlink w:history="1" w:anchor="_Toc119238899">
        <w:r w:rsidRPr="003B7A92" w:rsidR="005632D0">
          <w:rPr>
            <w:rStyle w:val="Hyperlink"/>
            <w:noProof/>
          </w:rPr>
          <w:t>4.3</w:t>
        </w:r>
        <w:r w:rsidR="005632D0">
          <w:rPr>
            <w:rFonts w:asciiTheme="minorHAnsi" w:hAnsiTheme="minorHAnsi" w:eastAsiaTheme="minorEastAsia" w:cstheme="minorBidi"/>
            <w:noProof/>
            <w:sz w:val="22"/>
            <w:szCs w:val="22"/>
          </w:rPr>
          <w:tab/>
        </w:r>
        <w:r w:rsidRPr="003B7A92" w:rsidR="005632D0">
          <w:rPr>
            <w:rStyle w:val="Hyperlink"/>
            <w:noProof/>
          </w:rPr>
          <w:t>Permits</w:t>
        </w:r>
        <w:r w:rsidR="005632D0">
          <w:rPr>
            <w:noProof/>
            <w:webHidden/>
          </w:rPr>
          <w:tab/>
        </w:r>
        <w:r w:rsidR="005632D0">
          <w:rPr>
            <w:noProof/>
            <w:webHidden/>
          </w:rPr>
          <w:fldChar w:fldCharType="begin"/>
        </w:r>
        <w:r w:rsidR="005632D0">
          <w:rPr>
            <w:noProof/>
            <w:webHidden/>
          </w:rPr>
          <w:instrText xml:space="preserve"> PAGEREF _Toc119238899 \h </w:instrText>
        </w:r>
        <w:r w:rsidR="005632D0">
          <w:rPr>
            <w:noProof/>
            <w:webHidden/>
          </w:rPr>
        </w:r>
        <w:r w:rsidR="005632D0">
          <w:rPr>
            <w:noProof/>
            <w:webHidden/>
          </w:rPr>
          <w:fldChar w:fldCharType="separate"/>
        </w:r>
        <w:r w:rsidR="005632D0">
          <w:rPr>
            <w:noProof/>
            <w:webHidden/>
          </w:rPr>
          <w:t>5</w:t>
        </w:r>
        <w:r w:rsidR="005632D0">
          <w:rPr>
            <w:noProof/>
            <w:webHidden/>
          </w:rPr>
          <w:fldChar w:fldCharType="end"/>
        </w:r>
      </w:hyperlink>
    </w:p>
    <w:p w:rsidR="005632D0" w:rsidRDefault="00510665" w14:paraId="3BA66415" w14:textId="76DBD5DB">
      <w:pPr>
        <w:pStyle w:val="TOC2"/>
        <w:rPr>
          <w:rFonts w:asciiTheme="minorHAnsi" w:hAnsiTheme="minorHAnsi" w:eastAsiaTheme="minorEastAsia" w:cstheme="minorBidi"/>
          <w:noProof/>
          <w:sz w:val="22"/>
          <w:szCs w:val="22"/>
        </w:rPr>
      </w:pPr>
      <w:hyperlink w:history="1" w:anchor="_Toc119238900">
        <w:r w:rsidRPr="003B7A92" w:rsidR="005632D0">
          <w:rPr>
            <w:rStyle w:val="Hyperlink"/>
            <w:noProof/>
          </w:rPr>
          <w:t>4.4</w:t>
        </w:r>
        <w:r w:rsidR="005632D0">
          <w:rPr>
            <w:rFonts w:asciiTheme="minorHAnsi" w:hAnsiTheme="minorHAnsi" w:eastAsiaTheme="minorEastAsia" w:cstheme="minorBidi"/>
            <w:noProof/>
            <w:sz w:val="22"/>
            <w:szCs w:val="22"/>
          </w:rPr>
          <w:tab/>
        </w:r>
        <w:r w:rsidRPr="003B7A92" w:rsidR="005632D0">
          <w:rPr>
            <w:rStyle w:val="Hyperlink"/>
            <w:noProof/>
          </w:rPr>
          <w:t>Safety Requirements; Governmental Inspections</w:t>
        </w:r>
        <w:r w:rsidR="005632D0">
          <w:rPr>
            <w:noProof/>
            <w:webHidden/>
          </w:rPr>
          <w:tab/>
        </w:r>
        <w:r w:rsidR="005632D0">
          <w:rPr>
            <w:noProof/>
            <w:webHidden/>
          </w:rPr>
          <w:fldChar w:fldCharType="begin"/>
        </w:r>
        <w:r w:rsidR="005632D0">
          <w:rPr>
            <w:noProof/>
            <w:webHidden/>
          </w:rPr>
          <w:instrText xml:space="preserve"> PAGEREF _Toc119238900 \h </w:instrText>
        </w:r>
        <w:r w:rsidR="005632D0">
          <w:rPr>
            <w:noProof/>
            <w:webHidden/>
          </w:rPr>
        </w:r>
        <w:r w:rsidR="005632D0">
          <w:rPr>
            <w:noProof/>
            <w:webHidden/>
          </w:rPr>
          <w:fldChar w:fldCharType="separate"/>
        </w:r>
        <w:r w:rsidR="005632D0">
          <w:rPr>
            <w:noProof/>
            <w:webHidden/>
          </w:rPr>
          <w:t>6</w:t>
        </w:r>
        <w:r w:rsidR="005632D0">
          <w:rPr>
            <w:noProof/>
            <w:webHidden/>
          </w:rPr>
          <w:fldChar w:fldCharType="end"/>
        </w:r>
      </w:hyperlink>
    </w:p>
    <w:p w:rsidR="005632D0" w:rsidRDefault="00510665" w14:paraId="795A5856" w14:textId="1811471F">
      <w:pPr>
        <w:pStyle w:val="TOC2"/>
        <w:rPr>
          <w:rFonts w:asciiTheme="minorHAnsi" w:hAnsiTheme="minorHAnsi" w:eastAsiaTheme="minorEastAsia" w:cstheme="minorBidi"/>
          <w:noProof/>
          <w:sz w:val="22"/>
          <w:szCs w:val="22"/>
        </w:rPr>
      </w:pPr>
      <w:hyperlink w:history="1" w:anchor="_Toc119238901">
        <w:r w:rsidRPr="003B7A92" w:rsidR="005632D0">
          <w:rPr>
            <w:rStyle w:val="Hyperlink"/>
            <w:noProof/>
          </w:rPr>
          <w:t>4.5</w:t>
        </w:r>
        <w:r w:rsidR="005632D0">
          <w:rPr>
            <w:rFonts w:asciiTheme="minorHAnsi" w:hAnsiTheme="minorHAnsi" w:eastAsiaTheme="minorEastAsia" w:cstheme="minorBidi"/>
            <w:noProof/>
            <w:sz w:val="22"/>
            <w:szCs w:val="22"/>
          </w:rPr>
          <w:tab/>
        </w:r>
        <w:r w:rsidRPr="003B7A92" w:rsidR="005632D0">
          <w:rPr>
            <w:rStyle w:val="Hyperlink"/>
            <w:noProof/>
          </w:rPr>
          <w:t>Commercial Operation</w:t>
        </w:r>
        <w:r w:rsidR="005632D0">
          <w:rPr>
            <w:noProof/>
            <w:webHidden/>
          </w:rPr>
          <w:tab/>
        </w:r>
        <w:r w:rsidR="005632D0">
          <w:rPr>
            <w:noProof/>
            <w:webHidden/>
          </w:rPr>
          <w:fldChar w:fldCharType="begin"/>
        </w:r>
        <w:r w:rsidR="005632D0">
          <w:rPr>
            <w:noProof/>
            <w:webHidden/>
          </w:rPr>
          <w:instrText xml:space="preserve"> PAGEREF _Toc119238901 \h </w:instrText>
        </w:r>
        <w:r w:rsidR="005632D0">
          <w:rPr>
            <w:noProof/>
            <w:webHidden/>
          </w:rPr>
        </w:r>
        <w:r w:rsidR="005632D0">
          <w:rPr>
            <w:noProof/>
            <w:webHidden/>
          </w:rPr>
          <w:fldChar w:fldCharType="separate"/>
        </w:r>
        <w:r w:rsidR="005632D0">
          <w:rPr>
            <w:noProof/>
            <w:webHidden/>
          </w:rPr>
          <w:t>6</w:t>
        </w:r>
        <w:r w:rsidR="005632D0">
          <w:rPr>
            <w:noProof/>
            <w:webHidden/>
          </w:rPr>
          <w:fldChar w:fldCharType="end"/>
        </w:r>
      </w:hyperlink>
    </w:p>
    <w:p w:rsidR="005632D0" w:rsidRDefault="00510665" w14:paraId="19FBCBDD" w14:textId="2CA7D09B">
      <w:pPr>
        <w:pStyle w:val="TOC2"/>
        <w:rPr>
          <w:rFonts w:asciiTheme="minorHAnsi" w:hAnsiTheme="minorHAnsi" w:eastAsiaTheme="minorEastAsia" w:cstheme="minorBidi"/>
          <w:noProof/>
          <w:sz w:val="22"/>
          <w:szCs w:val="22"/>
        </w:rPr>
      </w:pPr>
      <w:hyperlink w:history="1" w:anchor="_Toc119238902">
        <w:r w:rsidRPr="003B7A92" w:rsidR="005632D0">
          <w:rPr>
            <w:rStyle w:val="Hyperlink"/>
            <w:noProof/>
          </w:rPr>
          <w:t>4.6</w:t>
        </w:r>
        <w:r w:rsidR="005632D0">
          <w:rPr>
            <w:rFonts w:asciiTheme="minorHAnsi" w:hAnsiTheme="minorHAnsi" w:eastAsiaTheme="minorEastAsia" w:cstheme="minorBidi"/>
            <w:noProof/>
            <w:sz w:val="22"/>
            <w:szCs w:val="22"/>
          </w:rPr>
          <w:tab/>
        </w:r>
        <w:r w:rsidRPr="003B7A92" w:rsidR="005632D0">
          <w:rPr>
            <w:rStyle w:val="Hyperlink"/>
            <w:noProof/>
          </w:rPr>
          <w:t>Pre-COD Testing</w:t>
        </w:r>
        <w:r w:rsidR="005632D0">
          <w:rPr>
            <w:noProof/>
            <w:webHidden/>
          </w:rPr>
          <w:tab/>
        </w:r>
        <w:r w:rsidR="005632D0">
          <w:rPr>
            <w:noProof/>
            <w:webHidden/>
          </w:rPr>
          <w:fldChar w:fldCharType="begin"/>
        </w:r>
        <w:r w:rsidR="005632D0">
          <w:rPr>
            <w:noProof/>
            <w:webHidden/>
          </w:rPr>
          <w:instrText xml:space="preserve"> PAGEREF _Toc119238902 \h </w:instrText>
        </w:r>
        <w:r w:rsidR="005632D0">
          <w:rPr>
            <w:noProof/>
            <w:webHidden/>
          </w:rPr>
        </w:r>
        <w:r w:rsidR="005632D0">
          <w:rPr>
            <w:noProof/>
            <w:webHidden/>
          </w:rPr>
          <w:fldChar w:fldCharType="separate"/>
        </w:r>
        <w:r w:rsidR="005632D0">
          <w:rPr>
            <w:noProof/>
            <w:webHidden/>
          </w:rPr>
          <w:t>8</w:t>
        </w:r>
        <w:r w:rsidR="005632D0">
          <w:rPr>
            <w:noProof/>
            <w:webHidden/>
          </w:rPr>
          <w:fldChar w:fldCharType="end"/>
        </w:r>
      </w:hyperlink>
    </w:p>
    <w:p w:rsidR="005632D0" w:rsidRDefault="00510665" w14:paraId="6BC8910F" w14:textId="390755EF">
      <w:pPr>
        <w:pStyle w:val="TOC1"/>
        <w:rPr>
          <w:rFonts w:asciiTheme="minorHAnsi" w:hAnsiTheme="minorHAnsi" w:eastAsiaTheme="minorEastAsia" w:cstheme="minorBidi"/>
          <w:b w:val="0"/>
          <w:noProof/>
          <w:sz w:val="22"/>
          <w:szCs w:val="22"/>
        </w:rPr>
      </w:pPr>
      <w:hyperlink w:history="1" w:anchor="_Toc119238903">
        <w:r w:rsidRPr="003B7A92" w:rsidR="005632D0">
          <w:rPr>
            <w:rStyle w:val="Hyperlink"/>
            <w:noProof/>
          </w:rPr>
          <w:t>Article 5 – Delivery and Testing</w:t>
        </w:r>
        <w:r w:rsidR="005632D0">
          <w:rPr>
            <w:noProof/>
            <w:webHidden/>
          </w:rPr>
          <w:tab/>
        </w:r>
        <w:r w:rsidR="005632D0">
          <w:rPr>
            <w:noProof/>
            <w:webHidden/>
          </w:rPr>
          <w:fldChar w:fldCharType="begin"/>
        </w:r>
        <w:r w:rsidR="005632D0">
          <w:rPr>
            <w:noProof/>
            <w:webHidden/>
          </w:rPr>
          <w:instrText xml:space="preserve"> PAGEREF _Toc119238903 \h </w:instrText>
        </w:r>
        <w:r w:rsidR="005632D0">
          <w:rPr>
            <w:noProof/>
            <w:webHidden/>
          </w:rPr>
        </w:r>
        <w:r w:rsidR="005632D0">
          <w:rPr>
            <w:noProof/>
            <w:webHidden/>
          </w:rPr>
          <w:fldChar w:fldCharType="separate"/>
        </w:r>
        <w:r w:rsidR="005632D0">
          <w:rPr>
            <w:noProof/>
            <w:webHidden/>
          </w:rPr>
          <w:t>9</w:t>
        </w:r>
        <w:r w:rsidR="005632D0">
          <w:rPr>
            <w:noProof/>
            <w:webHidden/>
          </w:rPr>
          <w:fldChar w:fldCharType="end"/>
        </w:r>
      </w:hyperlink>
    </w:p>
    <w:p w:rsidR="005632D0" w:rsidRDefault="00510665" w14:paraId="0871DA00" w14:textId="637DDE3C">
      <w:pPr>
        <w:pStyle w:val="TOC2"/>
        <w:rPr>
          <w:rFonts w:asciiTheme="minorHAnsi" w:hAnsiTheme="minorHAnsi" w:eastAsiaTheme="minorEastAsia" w:cstheme="minorBidi"/>
          <w:noProof/>
          <w:sz w:val="22"/>
          <w:szCs w:val="22"/>
        </w:rPr>
      </w:pPr>
      <w:hyperlink w:history="1" w:anchor="_Toc119238904">
        <w:r w:rsidRPr="003B7A92" w:rsidR="005632D0">
          <w:rPr>
            <w:rStyle w:val="Hyperlink"/>
            <w:noProof/>
          </w:rPr>
          <w:t>5.1</w:t>
        </w:r>
        <w:r w:rsidR="005632D0">
          <w:rPr>
            <w:rFonts w:asciiTheme="minorHAnsi" w:hAnsiTheme="minorHAnsi" w:eastAsiaTheme="minorEastAsia" w:cstheme="minorBidi"/>
            <w:noProof/>
            <w:sz w:val="22"/>
            <w:szCs w:val="22"/>
          </w:rPr>
          <w:tab/>
        </w:r>
        <w:r w:rsidRPr="003B7A92" w:rsidR="005632D0">
          <w:rPr>
            <w:rStyle w:val="Hyperlink"/>
            <w:noProof/>
          </w:rPr>
          <w:t>Arrangements</w:t>
        </w:r>
        <w:r w:rsidR="005632D0">
          <w:rPr>
            <w:noProof/>
            <w:webHidden/>
          </w:rPr>
          <w:tab/>
        </w:r>
        <w:r w:rsidR="005632D0">
          <w:rPr>
            <w:noProof/>
            <w:webHidden/>
          </w:rPr>
          <w:fldChar w:fldCharType="begin"/>
        </w:r>
        <w:r w:rsidR="005632D0">
          <w:rPr>
            <w:noProof/>
            <w:webHidden/>
          </w:rPr>
          <w:instrText xml:space="preserve"> PAGEREF _Toc119238904 \h </w:instrText>
        </w:r>
        <w:r w:rsidR="005632D0">
          <w:rPr>
            <w:noProof/>
            <w:webHidden/>
          </w:rPr>
        </w:r>
        <w:r w:rsidR="005632D0">
          <w:rPr>
            <w:noProof/>
            <w:webHidden/>
          </w:rPr>
          <w:fldChar w:fldCharType="separate"/>
        </w:r>
        <w:r w:rsidR="005632D0">
          <w:rPr>
            <w:noProof/>
            <w:webHidden/>
          </w:rPr>
          <w:t>9</w:t>
        </w:r>
        <w:r w:rsidR="005632D0">
          <w:rPr>
            <w:noProof/>
            <w:webHidden/>
          </w:rPr>
          <w:fldChar w:fldCharType="end"/>
        </w:r>
      </w:hyperlink>
    </w:p>
    <w:p w:rsidR="005632D0" w:rsidRDefault="00510665" w14:paraId="12C4D4B2" w14:textId="3F25FD1D">
      <w:pPr>
        <w:pStyle w:val="TOC2"/>
        <w:rPr>
          <w:rFonts w:asciiTheme="minorHAnsi" w:hAnsiTheme="minorHAnsi" w:eastAsiaTheme="minorEastAsia" w:cstheme="minorBidi"/>
          <w:noProof/>
          <w:sz w:val="22"/>
          <w:szCs w:val="22"/>
        </w:rPr>
      </w:pPr>
      <w:hyperlink w:history="1" w:anchor="_Toc119238905">
        <w:r w:rsidRPr="003B7A92" w:rsidR="005632D0">
          <w:rPr>
            <w:rStyle w:val="Hyperlink"/>
            <w:noProof/>
          </w:rPr>
          <w:t>5.2</w:t>
        </w:r>
        <w:r w:rsidR="005632D0">
          <w:rPr>
            <w:rFonts w:asciiTheme="minorHAnsi" w:hAnsiTheme="minorHAnsi" w:eastAsiaTheme="minorEastAsia" w:cstheme="minorBidi"/>
            <w:noProof/>
            <w:sz w:val="22"/>
            <w:szCs w:val="22"/>
          </w:rPr>
          <w:tab/>
        </w:r>
        <w:r w:rsidRPr="003B7A92" w:rsidR="005632D0">
          <w:rPr>
            <w:rStyle w:val="Hyperlink"/>
            <w:noProof/>
          </w:rPr>
          <w:t>Charging Requirements</w:t>
        </w:r>
        <w:r w:rsidR="005632D0">
          <w:rPr>
            <w:noProof/>
            <w:webHidden/>
          </w:rPr>
          <w:tab/>
        </w:r>
        <w:r w:rsidR="005632D0">
          <w:rPr>
            <w:noProof/>
            <w:webHidden/>
          </w:rPr>
          <w:fldChar w:fldCharType="begin"/>
        </w:r>
        <w:r w:rsidR="005632D0">
          <w:rPr>
            <w:noProof/>
            <w:webHidden/>
          </w:rPr>
          <w:instrText xml:space="preserve"> PAGEREF _Toc119238905 \h </w:instrText>
        </w:r>
        <w:r w:rsidR="005632D0">
          <w:rPr>
            <w:noProof/>
            <w:webHidden/>
          </w:rPr>
        </w:r>
        <w:r w:rsidR="005632D0">
          <w:rPr>
            <w:noProof/>
            <w:webHidden/>
          </w:rPr>
          <w:fldChar w:fldCharType="separate"/>
        </w:r>
        <w:r w:rsidR="005632D0">
          <w:rPr>
            <w:noProof/>
            <w:webHidden/>
          </w:rPr>
          <w:t>9</w:t>
        </w:r>
        <w:r w:rsidR="005632D0">
          <w:rPr>
            <w:noProof/>
            <w:webHidden/>
          </w:rPr>
          <w:fldChar w:fldCharType="end"/>
        </w:r>
      </w:hyperlink>
    </w:p>
    <w:p w:rsidR="005632D0" w:rsidRDefault="00510665" w14:paraId="242067F7" w14:textId="4C747485">
      <w:pPr>
        <w:pStyle w:val="TOC2"/>
        <w:rPr>
          <w:rFonts w:asciiTheme="minorHAnsi" w:hAnsiTheme="minorHAnsi" w:eastAsiaTheme="minorEastAsia" w:cstheme="minorBidi"/>
          <w:noProof/>
          <w:sz w:val="22"/>
          <w:szCs w:val="22"/>
        </w:rPr>
      </w:pPr>
      <w:hyperlink w:history="1" w:anchor="_Toc119238906">
        <w:r w:rsidRPr="003B7A92" w:rsidR="005632D0">
          <w:rPr>
            <w:rStyle w:val="Hyperlink"/>
            <w:noProof/>
          </w:rPr>
          <w:t>5.3</w:t>
        </w:r>
        <w:r w:rsidR="005632D0">
          <w:rPr>
            <w:rFonts w:asciiTheme="minorHAnsi" w:hAnsiTheme="minorHAnsi" w:eastAsiaTheme="minorEastAsia" w:cstheme="minorBidi"/>
            <w:noProof/>
            <w:sz w:val="22"/>
            <w:szCs w:val="22"/>
          </w:rPr>
          <w:tab/>
        </w:r>
        <w:r w:rsidRPr="003B7A92" w:rsidR="005632D0">
          <w:rPr>
            <w:rStyle w:val="Hyperlink"/>
            <w:noProof/>
          </w:rPr>
          <w:t>Market Changes</w:t>
        </w:r>
        <w:r w:rsidR="005632D0">
          <w:rPr>
            <w:noProof/>
            <w:webHidden/>
          </w:rPr>
          <w:tab/>
        </w:r>
        <w:r w:rsidR="005632D0">
          <w:rPr>
            <w:noProof/>
            <w:webHidden/>
          </w:rPr>
          <w:fldChar w:fldCharType="begin"/>
        </w:r>
        <w:r w:rsidR="005632D0">
          <w:rPr>
            <w:noProof/>
            <w:webHidden/>
          </w:rPr>
          <w:instrText xml:space="preserve"> PAGEREF _Toc119238906 \h </w:instrText>
        </w:r>
        <w:r w:rsidR="005632D0">
          <w:rPr>
            <w:noProof/>
            <w:webHidden/>
          </w:rPr>
        </w:r>
        <w:r w:rsidR="005632D0">
          <w:rPr>
            <w:noProof/>
            <w:webHidden/>
          </w:rPr>
          <w:fldChar w:fldCharType="separate"/>
        </w:r>
        <w:r w:rsidR="005632D0">
          <w:rPr>
            <w:noProof/>
            <w:webHidden/>
          </w:rPr>
          <w:t>10</w:t>
        </w:r>
        <w:r w:rsidR="005632D0">
          <w:rPr>
            <w:noProof/>
            <w:webHidden/>
          </w:rPr>
          <w:fldChar w:fldCharType="end"/>
        </w:r>
      </w:hyperlink>
    </w:p>
    <w:p w:rsidR="005632D0" w:rsidRDefault="00510665" w14:paraId="0A412428" w14:textId="436BAA00">
      <w:pPr>
        <w:pStyle w:val="TOC2"/>
        <w:rPr>
          <w:rFonts w:asciiTheme="minorHAnsi" w:hAnsiTheme="minorHAnsi" w:eastAsiaTheme="minorEastAsia" w:cstheme="minorBidi"/>
          <w:noProof/>
          <w:sz w:val="22"/>
          <w:szCs w:val="22"/>
        </w:rPr>
      </w:pPr>
      <w:hyperlink w:history="1" w:anchor="_Toc119238907">
        <w:r w:rsidRPr="003B7A92" w:rsidR="005632D0">
          <w:rPr>
            <w:rStyle w:val="Hyperlink"/>
            <w:noProof/>
          </w:rPr>
          <w:t>5.4</w:t>
        </w:r>
        <w:r w:rsidR="005632D0">
          <w:rPr>
            <w:rFonts w:asciiTheme="minorHAnsi" w:hAnsiTheme="minorHAnsi" w:eastAsiaTheme="minorEastAsia" w:cstheme="minorBidi"/>
            <w:noProof/>
            <w:sz w:val="22"/>
            <w:szCs w:val="22"/>
          </w:rPr>
          <w:tab/>
        </w:r>
        <w:r w:rsidRPr="003B7A92" w:rsidR="005632D0">
          <w:rPr>
            <w:rStyle w:val="Hyperlink"/>
            <w:noProof/>
          </w:rPr>
          <w:t>Communication Protocols</w:t>
        </w:r>
        <w:r w:rsidR="005632D0">
          <w:rPr>
            <w:noProof/>
            <w:webHidden/>
          </w:rPr>
          <w:tab/>
        </w:r>
        <w:r w:rsidR="005632D0">
          <w:rPr>
            <w:noProof/>
            <w:webHidden/>
          </w:rPr>
          <w:fldChar w:fldCharType="begin"/>
        </w:r>
        <w:r w:rsidR="005632D0">
          <w:rPr>
            <w:noProof/>
            <w:webHidden/>
          </w:rPr>
          <w:instrText xml:space="preserve"> PAGEREF _Toc119238907 \h </w:instrText>
        </w:r>
        <w:r w:rsidR="005632D0">
          <w:rPr>
            <w:noProof/>
            <w:webHidden/>
          </w:rPr>
        </w:r>
        <w:r w:rsidR="005632D0">
          <w:rPr>
            <w:noProof/>
            <w:webHidden/>
          </w:rPr>
          <w:fldChar w:fldCharType="separate"/>
        </w:r>
        <w:r w:rsidR="005632D0">
          <w:rPr>
            <w:noProof/>
            <w:webHidden/>
          </w:rPr>
          <w:t>10</w:t>
        </w:r>
        <w:r w:rsidR="005632D0">
          <w:rPr>
            <w:noProof/>
            <w:webHidden/>
          </w:rPr>
          <w:fldChar w:fldCharType="end"/>
        </w:r>
      </w:hyperlink>
    </w:p>
    <w:p w:rsidR="005632D0" w:rsidRDefault="00510665" w14:paraId="0014D991" w14:textId="009221AC">
      <w:pPr>
        <w:pStyle w:val="TOC2"/>
        <w:rPr>
          <w:rFonts w:asciiTheme="minorHAnsi" w:hAnsiTheme="minorHAnsi" w:eastAsiaTheme="minorEastAsia" w:cstheme="minorBidi"/>
          <w:noProof/>
          <w:sz w:val="22"/>
          <w:szCs w:val="22"/>
        </w:rPr>
      </w:pPr>
      <w:hyperlink w:history="1" w:anchor="_Toc119238908">
        <w:r w:rsidRPr="003B7A92" w:rsidR="005632D0">
          <w:rPr>
            <w:rStyle w:val="Hyperlink"/>
            <w:noProof/>
          </w:rPr>
          <w:t>5.5</w:t>
        </w:r>
        <w:r w:rsidR="005632D0">
          <w:rPr>
            <w:rFonts w:asciiTheme="minorHAnsi" w:hAnsiTheme="minorHAnsi" w:eastAsiaTheme="minorEastAsia" w:cstheme="minorBidi"/>
            <w:noProof/>
            <w:sz w:val="22"/>
            <w:szCs w:val="22"/>
          </w:rPr>
          <w:tab/>
        </w:r>
        <w:r w:rsidRPr="003B7A92" w:rsidR="005632D0">
          <w:rPr>
            <w:rStyle w:val="Hyperlink"/>
            <w:noProof/>
          </w:rPr>
          <w:t>Electric Metering Devices</w:t>
        </w:r>
        <w:r w:rsidR="005632D0">
          <w:rPr>
            <w:noProof/>
            <w:webHidden/>
          </w:rPr>
          <w:tab/>
        </w:r>
        <w:r w:rsidR="005632D0">
          <w:rPr>
            <w:noProof/>
            <w:webHidden/>
          </w:rPr>
          <w:fldChar w:fldCharType="begin"/>
        </w:r>
        <w:r w:rsidR="005632D0">
          <w:rPr>
            <w:noProof/>
            <w:webHidden/>
          </w:rPr>
          <w:instrText xml:space="preserve"> PAGEREF _Toc119238908 \h </w:instrText>
        </w:r>
        <w:r w:rsidR="005632D0">
          <w:rPr>
            <w:noProof/>
            <w:webHidden/>
          </w:rPr>
        </w:r>
        <w:r w:rsidR="005632D0">
          <w:rPr>
            <w:noProof/>
            <w:webHidden/>
          </w:rPr>
          <w:fldChar w:fldCharType="separate"/>
        </w:r>
        <w:r w:rsidR="005632D0">
          <w:rPr>
            <w:noProof/>
            <w:webHidden/>
          </w:rPr>
          <w:t>11</w:t>
        </w:r>
        <w:r w:rsidR="005632D0">
          <w:rPr>
            <w:noProof/>
            <w:webHidden/>
          </w:rPr>
          <w:fldChar w:fldCharType="end"/>
        </w:r>
      </w:hyperlink>
    </w:p>
    <w:p w:rsidR="005632D0" w:rsidRDefault="00510665" w14:paraId="3AEB4AA5" w14:textId="68766870">
      <w:pPr>
        <w:pStyle w:val="TOC2"/>
        <w:rPr>
          <w:rFonts w:asciiTheme="minorHAnsi" w:hAnsiTheme="minorHAnsi" w:eastAsiaTheme="minorEastAsia" w:cstheme="minorBidi"/>
          <w:noProof/>
          <w:sz w:val="22"/>
          <w:szCs w:val="22"/>
        </w:rPr>
      </w:pPr>
      <w:hyperlink w:history="1" w:anchor="_Toc119238909">
        <w:r w:rsidRPr="003B7A92" w:rsidR="005632D0">
          <w:rPr>
            <w:rStyle w:val="Hyperlink"/>
            <w:noProof/>
          </w:rPr>
          <w:t>5.6</w:t>
        </w:r>
        <w:r w:rsidR="005632D0">
          <w:rPr>
            <w:rFonts w:asciiTheme="minorHAnsi" w:hAnsiTheme="minorHAnsi" w:eastAsiaTheme="minorEastAsia" w:cstheme="minorBidi"/>
            <w:noProof/>
            <w:sz w:val="22"/>
            <w:szCs w:val="22"/>
          </w:rPr>
          <w:tab/>
        </w:r>
        <w:r w:rsidRPr="003B7A92" w:rsidR="005632D0">
          <w:rPr>
            <w:rStyle w:val="Hyperlink"/>
            <w:noProof/>
          </w:rPr>
          <w:t>Battery Storage System Testing</w:t>
        </w:r>
        <w:r w:rsidR="005632D0">
          <w:rPr>
            <w:noProof/>
            <w:webHidden/>
          </w:rPr>
          <w:tab/>
        </w:r>
        <w:r w:rsidR="005632D0">
          <w:rPr>
            <w:noProof/>
            <w:webHidden/>
          </w:rPr>
          <w:fldChar w:fldCharType="begin"/>
        </w:r>
        <w:r w:rsidR="005632D0">
          <w:rPr>
            <w:noProof/>
            <w:webHidden/>
          </w:rPr>
          <w:instrText xml:space="preserve"> PAGEREF _Toc119238909 \h </w:instrText>
        </w:r>
        <w:r w:rsidR="005632D0">
          <w:rPr>
            <w:noProof/>
            <w:webHidden/>
          </w:rPr>
        </w:r>
        <w:r w:rsidR="005632D0">
          <w:rPr>
            <w:noProof/>
            <w:webHidden/>
          </w:rPr>
          <w:fldChar w:fldCharType="separate"/>
        </w:r>
        <w:r w:rsidR="005632D0">
          <w:rPr>
            <w:noProof/>
            <w:webHidden/>
          </w:rPr>
          <w:t>12</w:t>
        </w:r>
        <w:r w:rsidR="005632D0">
          <w:rPr>
            <w:noProof/>
            <w:webHidden/>
          </w:rPr>
          <w:fldChar w:fldCharType="end"/>
        </w:r>
      </w:hyperlink>
    </w:p>
    <w:p w:rsidR="005632D0" w:rsidRDefault="00510665" w14:paraId="6F9B73E8" w14:textId="2E69FED9">
      <w:pPr>
        <w:pStyle w:val="TOC1"/>
        <w:rPr>
          <w:rFonts w:asciiTheme="minorHAnsi" w:hAnsiTheme="minorHAnsi" w:eastAsiaTheme="minorEastAsia" w:cstheme="minorBidi"/>
          <w:b w:val="0"/>
          <w:noProof/>
          <w:sz w:val="22"/>
          <w:szCs w:val="22"/>
        </w:rPr>
      </w:pPr>
      <w:hyperlink w:history="1" w:anchor="_Toc119238910">
        <w:r w:rsidRPr="003B7A92" w:rsidR="005632D0">
          <w:rPr>
            <w:rStyle w:val="Hyperlink"/>
            <w:noProof/>
          </w:rPr>
          <w:t>Article 6 – Conditions Precedent</w:t>
        </w:r>
        <w:r w:rsidR="005632D0">
          <w:rPr>
            <w:noProof/>
            <w:webHidden/>
          </w:rPr>
          <w:tab/>
        </w:r>
        <w:r w:rsidR="005632D0">
          <w:rPr>
            <w:noProof/>
            <w:webHidden/>
          </w:rPr>
          <w:fldChar w:fldCharType="begin"/>
        </w:r>
        <w:r w:rsidR="005632D0">
          <w:rPr>
            <w:noProof/>
            <w:webHidden/>
          </w:rPr>
          <w:instrText xml:space="preserve"> PAGEREF _Toc119238910 \h </w:instrText>
        </w:r>
        <w:r w:rsidR="005632D0">
          <w:rPr>
            <w:noProof/>
            <w:webHidden/>
          </w:rPr>
        </w:r>
        <w:r w:rsidR="005632D0">
          <w:rPr>
            <w:noProof/>
            <w:webHidden/>
          </w:rPr>
          <w:fldChar w:fldCharType="separate"/>
        </w:r>
        <w:r w:rsidR="005632D0">
          <w:rPr>
            <w:noProof/>
            <w:webHidden/>
          </w:rPr>
          <w:t>13</w:t>
        </w:r>
        <w:r w:rsidR="005632D0">
          <w:rPr>
            <w:noProof/>
            <w:webHidden/>
          </w:rPr>
          <w:fldChar w:fldCharType="end"/>
        </w:r>
      </w:hyperlink>
    </w:p>
    <w:p w:rsidR="005632D0" w:rsidRDefault="00510665" w14:paraId="39BA7C33" w14:textId="20C74423">
      <w:pPr>
        <w:pStyle w:val="TOC2"/>
        <w:rPr>
          <w:rFonts w:asciiTheme="minorHAnsi" w:hAnsiTheme="minorHAnsi" w:eastAsiaTheme="minorEastAsia" w:cstheme="minorBidi"/>
          <w:noProof/>
          <w:sz w:val="22"/>
          <w:szCs w:val="22"/>
        </w:rPr>
      </w:pPr>
      <w:hyperlink w:history="1" w:anchor="_Toc119238911">
        <w:r w:rsidRPr="003B7A92" w:rsidR="005632D0">
          <w:rPr>
            <w:rStyle w:val="Hyperlink"/>
            <w:noProof/>
          </w:rPr>
          <w:t>6.1</w:t>
        </w:r>
        <w:r w:rsidR="005632D0">
          <w:rPr>
            <w:rFonts w:asciiTheme="minorHAnsi" w:hAnsiTheme="minorHAnsi" w:eastAsiaTheme="minorEastAsia" w:cstheme="minorBidi"/>
            <w:noProof/>
            <w:sz w:val="22"/>
            <w:szCs w:val="22"/>
          </w:rPr>
          <w:tab/>
        </w:r>
        <w:r w:rsidRPr="003B7A92" w:rsidR="005632D0">
          <w:rPr>
            <w:rStyle w:val="Hyperlink"/>
            <w:noProof/>
          </w:rPr>
          <w:t>PUC Approval</w:t>
        </w:r>
        <w:r w:rsidR="005632D0">
          <w:rPr>
            <w:noProof/>
            <w:webHidden/>
          </w:rPr>
          <w:tab/>
        </w:r>
        <w:r w:rsidR="005632D0">
          <w:rPr>
            <w:noProof/>
            <w:webHidden/>
          </w:rPr>
          <w:fldChar w:fldCharType="begin"/>
        </w:r>
        <w:r w:rsidR="005632D0">
          <w:rPr>
            <w:noProof/>
            <w:webHidden/>
          </w:rPr>
          <w:instrText xml:space="preserve"> PAGEREF _Toc119238911 \h </w:instrText>
        </w:r>
        <w:r w:rsidR="005632D0">
          <w:rPr>
            <w:noProof/>
            <w:webHidden/>
          </w:rPr>
        </w:r>
        <w:r w:rsidR="005632D0">
          <w:rPr>
            <w:noProof/>
            <w:webHidden/>
          </w:rPr>
          <w:fldChar w:fldCharType="separate"/>
        </w:r>
        <w:r w:rsidR="005632D0">
          <w:rPr>
            <w:noProof/>
            <w:webHidden/>
          </w:rPr>
          <w:t>13</w:t>
        </w:r>
        <w:r w:rsidR="005632D0">
          <w:rPr>
            <w:noProof/>
            <w:webHidden/>
          </w:rPr>
          <w:fldChar w:fldCharType="end"/>
        </w:r>
      </w:hyperlink>
    </w:p>
    <w:p w:rsidR="005632D0" w:rsidRDefault="00510665" w14:paraId="423B802D" w14:textId="1CA3F1C3">
      <w:pPr>
        <w:pStyle w:val="TOC2"/>
        <w:rPr>
          <w:rFonts w:asciiTheme="minorHAnsi" w:hAnsiTheme="minorHAnsi" w:eastAsiaTheme="minorEastAsia" w:cstheme="minorBidi"/>
          <w:noProof/>
          <w:sz w:val="22"/>
          <w:szCs w:val="22"/>
        </w:rPr>
      </w:pPr>
      <w:hyperlink w:history="1" w:anchor="_Toc119238912">
        <w:r w:rsidRPr="003B7A92" w:rsidR="005632D0">
          <w:rPr>
            <w:rStyle w:val="Hyperlink"/>
            <w:noProof/>
          </w:rPr>
          <w:t>6.2</w:t>
        </w:r>
        <w:r w:rsidR="005632D0">
          <w:rPr>
            <w:rFonts w:asciiTheme="minorHAnsi" w:hAnsiTheme="minorHAnsi" w:eastAsiaTheme="minorEastAsia" w:cstheme="minorBidi"/>
            <w:noProof/>
            <w:sz w:val="22"/>
            <w:szCs w:val="22"/>
          </w:rPr>
          <w:tab/>
        </w:r>
        <w:r w:rsidRPr="003B7A92" w:rsidR="005632D0">
          <w:rPr>
            <w:rStyle w:val="Hyperlink"/>
            <w:noProof/>
          </w:rPr>
          <w:t>Other Company CPs</w:t>
        </w:r>
        <w:r w:rsidR="005632D0">
          <w:rPr>
            <w:noProof/>
            <w:webHidden/>
          </w:rPr>
          <w:tab/>
        </w:r>
        <w:r w:rsidR="005632D0">
          <w:rPr>
            <w:noProof/>
            <w:webHidden/>
          </w:rPr>
          <w:fldChar w:fldCharType="begin"/>
        </w:r>
        <w:r w:rsidR="005632D0">
          <w:rPr>
            <w:noProof/>
            <w:webHidden/>
          </w:rPr>
          <w:instrText xml:space="preserve"> PAGEREF _Toc119238912 \h </w:instrText>
        </w:r>
        <w:r w:rsidR="005632D0">
          <w:rPr>
            <w:noProof/>
            <w:webHidden/>
          </w:rPr>
        </w:r>
        <w:r w:rsidR="005632D0">
          <w:rPr>
            <w:noProof/>
            <w:webHidden/>
          </w:rPr>
          <w:fldChar w:fldCharType="separate"/>
        </w:r>
        <w:r w:rsidR="005632D0">
          <w:rPr>
            <w:noProof/>
            <w:webHidden/>
          </w:rPr>
          <w:t>14</w:t>
        </w:r>
        <w:r w:rsidR="005632D0">
          <w:rPr>
            <w:noProof/>
            <w:webHidden/>
          </w:rPr>
          <w:fldChar w:fldCharType="end"/>
        </w:r>
      </w:hyperlink>
    </w:p>
    <w:p w:rsidR="005632D0" w:rsidRDefault="00510665" w14:paraId="7FB11B68" w14:textId="7AEFD0AA">
      <w:pPr>
        <w:pStyle w:val="TOC2"/>
        <w:rPr>
          <w:rFonts w:asciiTheme="minorHAnsi" w:hAnsiTheme="minorHAnsi" w:eastAsiaTheme="minorEastAsia" w:cstheme="minorBidi"/>
          <w:noProof/>
          <w:sz w:val="22"/>
          <w:szCs w:val="22"/>
        </w:rPr>
      </w:pPr>
      <w:hyperlink w:history="1" w:anchor="_Toc119238913">
        <w:r w:rsidRPr="003B7A92" w:rsidR="005632D0">
          <w:rPr>
            <w:rStyle w:val="Hyperlink"/>
            <w:noProof/>
          </w:rPr>
          <w:t>6.3</w:t>
        </w:r>
        <w:r w:rsidR="005632D0">
          <w:rPr>
            <w:rFonts w:asciiTheme="minorHAnsi" w:hAnsiTheme="minorHAnsi" w:eastAsiaTheme="minorEastAsia" w:cstheme="minorBidi"/>
            <w:noProof/>
            <w:sz w:val="22"/>
            <w:szCs w:val="22"/>
          </w:rPr>
          <w:tab/>
        </w:r>
        <w:r w:rsidRPr="003B7A92" w:rsidR="005632D0">
          <w:rPr>
            <w:rStyle w:val="Hyperlink"/>
            <w:noProof/>
          </w:rPr>
          <w:t>Seller CPs</w:t>
        </w:r>
        <w:r w:rsidR="005632D0">
          <w:rPr>
            <w:noProof/>
            <w:webHidden/>
          </w:rPr>
          <w:tab/>
        </w:r>
        <w:r w:rsidR="005632D0">
          <w:rPr>
            <w:noProof/>
            <w:webHidden/>
          </w:rPr>
          <w:fldChar w:fldCharType="begin"/>
        </w:r>
        <w:r w:rsidR="005632D0">
          <w:rPr>
            <w:noProof/>
            <w:webHidden/>
          </w:rPr>
          <w:instrText xml:space="preserve"> PAGEREF _Toc119238913 \h </w:instrText>
        </w:r>
        <w:r w:rsidR="005632D0">
          <w:rPr>
            <w:noProof/>
            <w:webHidden/>
          </w:rPr>
        </w:r>
        <w:r w:rsidR="005632D0">
          <w:rPr>
            <w:noProof/>
            <w:webHidden/>
          </w:rPr>
          <w:fldChar w:fldCharType="separate"/>
        </w:r>
        <w:r w:rsidR="005632D0">
          <w:rPr>
            <w:noProof/>
            <w:webHidden/>
          </w:rPr>
          <w:t>14</w:t>
        </w:r>
        <w:r w:rsidR="005632D0">
          <w:rPr>
            <w:noProof/>
            <w:webHidden/>
          </w:rPr>
          <w:fldChar w:fldCharType="end"/>
        </w:r>
      </w:hyperlink>
    </w:p>
    <w:p w:rsidR="005632D0" w:rsidRDefault="00510665" w14:paraId="4875558C" w14:textId="32DECF7C">
      <w:pPr>
        <w:pStyle w:val="TOC1"/>
        <w:rPr>
          <w:rFonts w:asciiTheme="minorHAnsi" w:hAnsiTheme="minorHAnsi" w:eastAsiaTheme="minorEastAsia" w:cstheme="minorBidi"/>
          <w:b w:val="0"/>
          <w:noProof/>
          <w:sz w:val="22"/>
          <w:szCs w:val="22"/>
        </w:rPr>
      </w:pPr>
      <w:hyperlink w:history="1" w:anchor="_Toc119238914">
        <w:r w:rsidRPr="003B7A92" w:rsidR="005632D0">
          <w:rPr>
            <w:rStyle w:val="Hyperlink"/>
            <w:noProof/>
          </w:rPr>
          <w:t>Article 7 – Sale and Purchase</w:t>
        </w:r>
        <w:r w:rsidR="005632D0">
          <w:rPr>
            <w:noProof/>
            <w:webHidden/>
          </w:rPr>
          <w:tab/>
        </w:r>
        <w:r w:rsidR="005632D0">
          <w:rPr>
            <w:noProof/>
            <w:webHidden/>
          </w:rPr>
          <w:fldChar w:fldCharType="begin"/>
        </w:r>
        <w:r w:rsidR="005632D0">
          <w:rPr>
            <w:noProof/>
            <w:webHidden/>
          </w:rPr>
          <w:instrText xml:space="preserve"> PAGEREF _Toc119238914 \h </w:instrText>
        </w:r>
        <w:r w:rsidR="005632D0">
          <w:rPr>
            <w:noProof/>
            <w:webHidden/>
          </w:rPr>
        </w:r>
        <w:r w:rsidR="005632D0">
          <w:rPr>
            <w:noProof/>
            <w:webHidden/>
          </w:rPr>
          <w:fldChar w:fldCharType="separate"/>
        </w:r>
        <w:r w:rsidR="005632D0">
          <w:rPr>
            <w:noProof/>
            <w:webHidden/>
          </w:rPr>
          <w:t>14</w:t>
        </w:r>
        <w:r w:rsidR="005632D0">
          <w:rPr>
            <w:noProof/>
            <w:webHidden/>
          </w:rPr>
          <w:fldChar w:fldCharType="end"/>
        </w:r>
      </w:hyperlink>
    </w:p>
    <w:p w:rsidR="005632D0" w:rsidRDefault="00510665" w14:paraId="585FC3EF" w14:textId="1D9A6FD7">
      <w:pPr>
        <w:pStyle w:val="TOC2"/>
        <w:rPr>
          <w:rFonts w:asciiTheme="minorHAnsi" w:hAnsiTheme="minorHAnsi" w:eastAsiaTheme="minorEastAsia" w:cstheme="minorBidi"/>
          <w:noProof/>
          <w:sz w:val="22"/>
          <w:szCs w:val="22"/>
        </w:rPr>
      </w:pPr>
      <w:hyperlink w:history="1" w:anchor="_Toc119238915">
        <w:r w:rsidRPr="003B7A92" w:rsidR="005632D0">
          <w:rPr>
            <w:rStyle w:val="Hyperlink"/>
            <w:noProof/>
          </w:rPr>
          <w:t>7.1</w:t>
        </w:r>
        <w:r w:rsidR="005632D0">
          <w:rPr>
            <w:rFonts w:asciiTheme="minorHAnsi" w:hAnsiTheme="minorHAnsi" w:eastAsiaTheme="minorEastAsia" w:cstheme="minorBidi"/>
            <w:noProof/>
            <w:sz w:val="22"/>
            <w:szCs w:val="22"/>
          </w:rPr>
          <w:tab/>
        </w:r>
        <w:r w:rsidRPr="003B7A92" w:rsidR="005632D0">
          <w:rPr>
            <w:rStyle w:val="Hyperlink"/>
            <w:noProof/>
          </w:rPr>
          <w:t>General Obligation</w:t>
        </w:r>
        <w:r w:rsidR="005632D0">
          <w:rPr>
            <w:noProof/>
            <w:webHidden/>
          </w:rPr>
          <w:tab/>
        </w:r>
        <w:r w:rsidR="005632D0">
          <w:rPr>
            <w:noProof/>
            <w:webHidden/>
          </w:rPr>
          <w:fldChar w:fldCharType="begin"/>
        </w:r>
        <w:r w:rsidR="005632D0">
          <w:rPr>
            <w:noProof/>
            <w:webHidden/>
          </w:rPr>
          <w:instrText xml:space="preserve"> PAGEREF _Toc119238915 \h </w:instrText>
        </w:r>
        <w:r w:rsidR="005632D0">
          <w:rPr>
            <w:noProof/>
            <w:webHidden/>
          </w:rPr>
        </w:r>
        <w:r w:rsidR="005632D0">
          <w:rPr>
            <w:noProof/>
            <w:webHidden/>
          </w:rPr>
          <w:fldChar w:fldCharType="separate"/>
        </w:r>
        <w:r w:rsidR="005632D0">
          <w:rPr>
            <w:noProof/>
            <w:webHidden/>
          </w:rPr>
          <w:t>14</w:t>
        </w:r>
        <w:r w:rsidR="005632D0">
          <w:rPr>
            <w:noProof/>
            <w:webHidden/>
          </w:rPr>
          <w:fldChar w:fldCharType="end"/>
        </w:r>
      </w:hyperlink>
    </w:p>
    <w:p w:rsidR="005632D0" w:rsidRDefault="00510665" w14:paraId="6CEC8D20" w14:textId="4E24AA9B">
      <w:pPr>
        <w:pStyle w:val="TOC2"/>
        <w:rPr>
          <w:rFonts w:asciiTheme="minorHAnsi" w:hAnsiTheme="minorHAnsi" w:eastAsiaTheme="minorEastAsia" w:cstheme="minorBidi"/>
          <w:noProof/>
          <w:sz w:val="22"/>
          <w:szCs w:val="22"/>
        </w:rPr>
      </w:pPr>
      <w:hyperlink w:history="1" w:anchor="_Toc119238916">
        <w:r w:rsidRPr="003B7A92" w:rsidR="005632D0">
          <w:rPr>
            <w:rStyle w:val="Hyperlink"/>
            <w:noProof/>
          </w:rPr>
          <w:t>7.2</w:t>
        </w:r>
        <w:r w:rsidR="005632D0">
          <w:rPr>
            <w:rFonts w:asciiTheme="minorHAnsi" w:hAnsiTheme="minorHAnsi" w:eastAsiaTheme="minorEastAsia" w:cstheme="minorBidi"/>
            <w:noProof/>
            <w:sz w:val="22"/>
            <w:szCs w:val="22"/>
          </w:rPr>
          <w:tab/>
        </w:r>
        <w:r w:rsidRPr="003B7A92" w:rsidR="005632D0">
          <w:rPr>
            <w:rStyle w:val="Hyperlink"/>
            <w:noProof/>
          </w:rPr>
          <w:t>AGC</w:t>
        </w:r>
        <w:r w:rsidR="005632D0">
          <w:rPr>
            <w:noProof/>
            <w:webHidden/>
          </w:rPr>
          <w:tab/>
        </w:r>
        <w:r w:rsidR="005632D0">
          <w:rPr>
            <w:noProof/>
            <w:webHidden/>
          </w:rPr>
          <w:fldChar w:fldCharType="begin"/>
        </w:r>
        <w:r w:rsidR="005632D0">
          <w:rPr>
            <w:noProof/>
            <w:webHidden/>
          </w:rPr>
          <w:instrText xml:space="preserve"> PAGEREF _Toc119238916 \h </w:instrText>
        </w:r>
        <w:r w:rsidR="005632D0">
          <w:rPr>
            <w:noProof/>
            <w:webHidden/>
          </w:rPr>
        </w:r>
        <w:r w:rsidR="005632D0">
          <w:rPr>
            <w:noProof/>
            <w:webHidden/>
          </w:rPr>
          <w:fldChar w:fldCharType="separate"/>
        </w:r>
        <w:r w:rsidR="005632D0">
          <w:rPr>
            <w:noProof/>
            <w:webHidden/>
          </w:rPr>
          <w:t>14</w:t>
        </w:r>
        <w:r w:rsidR="005632D0">
          <w:rPr>
            <w:noProof/>
            <w:webHidden/>
          </w:rPr>
          <w:fldChar w:fldCharType="end"/>
        </w:r>
      </w:hyperlink>
    </w:p>
    <w:p w:rsidR="005632D0" w:rsidRDefault="00510665" w14:paraId="49EEF4A4" w14:textId="65582C5E">
      <w:pPr>
        <w:pStyle w:val="TOC2"/>
        <w:rPr>
          <w:rFonts w:asciiTheme="minorHAnsi" w:hAnsiTheme="minorHAnsi" w:eastAsiaTheme="minorEastAsia" w:cstheme="minorBidi"/>
          <w:noProof/>
          <w:sz w:val="22"/>
          <w:szCs w:val="22"/>
        </w:rPr>
      </w:pPr>
      <w:hyperlink w:history="1" w:anchor="_Toc119238917">
        <w:r w:rsidRPr="003B7A92" w:rsidR="005632D0">
          <w:rPr>
            <w:rStyle w:val="Hyperlink"/>
            <w:noProof/>
          </w:rPr>
          <w:t>7.3</w:t>
        </w:r>
        <w:r w:rsidR="005632D0">
          <w:rPr>
            <w:rFonts w:asciiTheme="minorHAnsi" w:hAnsiTheme="minorHAnsi" w:eastAsiaTheme="minorEastAsia" w:cstheme="minorBidi"/>
            <w:noProof/>
            <w:sz w:val="22"/>
            <w:szCs w:val="22"/>
          </w:rPr>
          <w:tab/>
        </w:r>
        <w:r w:rsidRPr="003B7A92" w:rsidR="005632D0">
          <w:rPr>
            <w:rStyle w:val="Hyperlink"/>
            <w:noProof/>
          </w:rPr>
          <w:t>Battery Storage System Dispatch</w:t>
        </w:r>
        <w:r w:rsidR="005632D0">
          <w:rPr>
            <w:noProof/>
            <w:webHidden/>
          </w:rPr>
          <w:tab/>
        </w:r>
        <w:r w:rsidR="005632D0">
          <w:rPr>
            <w:noProof/>
            <w:webHidden/>
          </w:rPr>
          <w:fldChar w:fldCharType="begin"/>
        </w:r>
        <w:r w:rsidR="005632D0">
          <w:rPr>
            <w:noProof/>
            <w:webHidden/>
          </w:rPr>
          <w:instrText xml:space="preserve"> PAGEREF _Toc119238917 \h </w:instrText>
        </w:r>
        <w:r w:rsidR="005632D0">
          <w:rPr>
            <w:noProof/>
            <w:webHidden/>
          </w:rPr>
        </w:r>
        <w:r w:rsidR="005632D0">
          <w:rPr>
            <w:noProof/>
            <w:webHidden/>
          </w:rPr>
          <w:fldChar w:fldCharType="separate"/>
        </w:r>
        <w:r w:rsidR="005632D0">
          <w:rPr>
            <w:noProof/>
            <w:webHidden/>
          </w:rPr>
          <w:t>14</w:t>
        </w:r>
        <w:r w:rsidR="005632D0">
          <w:rPr>
            <w:noProof/>
            <w:webHidden/>
          </w:rPr>
          <w:fldChar w:fldCharType="end"/>
        </w:r>
      </w:hyperlink>
    </w:p>
    <w:p w:rsidR="005632D0" w:rsidRDefault="00510665" w14:paraId="6F2C26B2" w14:textId="4C8B106F">
      <w:pPr>
        <w:pStyle w:val="TOC2"/>
        <w:rPr>
          <w:rFonts w:asciiTheme="minorHAnsi" w:hAnsiTheme="minorHAnsi" w:eastAsiaTheme="minorEastAsia" w:cstheme="minorBidi"/>
          <w:noProof/>
          <w:sz w:val="22"/>
          <w:szCs w:val="22"/>
        </w:rPr>
      </w:pPr>
      <w:hyperlink w:history="1" w:anchor="_Toc119238918">
        <w:r w:rsidRPr="003B7A92" w:rsidR="005632D0">
          <w:rPr>
            <w:rStyle w:val="Hyperlink"/>
            <w:noProof/>
          </w:rPr>
          <w:t>7.4</w:t>
        </w:r>
        <w:r w:rsidR="005632D0">
          <w:rPr>
            <w:rFonts w:asciiTheme="minorHAnsi" w:hAnsiTheme="minorHAnsi" w:eastAsiaTheme="minorEastAsia" w:cstheme="minorBidi"/>
            <w:noProof/>
            <w:sz w:val="22"/>
            <w:szCs w:val="22"/>
          </w:rPr>
          <w:tab/>
        </w:r>
        <w:r w:rsidRPr="003B7A92" w:rsidR="005632D0">
          <w:rPr>
            <w:rStyle w:val="Hyperlink"/>
            <w:noProof/>
          </w:rPr>
          <w:t>Reserved</w:t>
        </w:r>
        <w:r w:rsidR="005632D0">
          <w:rPr>
            <w:noProof/>
            <w:webHidden/>
          </w:rPr>
          <w:tab/>
        </w:r>
        <w:r w:rsidR="005632D0">
          <w:rPr>
            <w:noProof/>
            <w:webHidden/>
          </w:rPr>
          <w:fldChar w:fldCharType="begin"/>
        </w:r>
        <w:r w:rsidR="005632D0">
          <w:rPr>
            <w:noProof/>
            <w:webHidden/>
          </w:rPr>
          <w:instrText xml:space="preserve"> PAGEREF _Toc119238918 \h </w:instrText>
        </w:r>
        <w:r w:rsidR="005632D0">
          <w:rPr>
            <w:noProof/>
            <w:webHidden/>
          </w:rPr>
        </w:r>
        <w:r w:rsidR="005632D0">
          <w:rPr>
            <w:noProof/>
            <w:webHidden/>
          </w:rPr>
          <w:fldChar w:fldCharType="separate"/>
        </w:r>
        <w:r w:rsidR="005632D0">
          <w:rPr>
            <w:noProof/>
            <w:webHidden/>
          </w:rPr>
          <w:t>15</w:t>
        </w:r>
        <w:r w:rsidR="005632D0">
          <w:rPr>
            <w:noProof/>
            <w:webHidden/>
          </w:rPr>
          <w:fldChar w:fldCharType="end"/>
        </w:r>
      </w:hyperlink>
    </w:p>
    <w:p w:rsidR="005632D0" w:rsidRDefault="00510665" w14:paraId="0BD562D1" w14:textId="4B95C5AF">
      <w:pPr>
        <w:pStyle w:val="TOC2"/>
        <w:rPr>
          <w:rFonts w:asciiTheme="minorHAnsi" w:hAnsiTheme="minorHAnsi" w:eastAsiaTheme="minorEastAsia" w:cstheme="minorBidi"/>
          <w:noProof/>
          <w:sz w:val="22"/>
          <w:szCs w:val="22"/>
        </w:rPr>
      </w:pPr>
      <w:hyperlink w:history="1" w:anchor="_Toc119238919">
        <w:r w:rsidRPr="003B7A92" w:rsidR="005632D0">
          <w:rPr>
            <w:rStyle w:val="Hyperlink"/>
            <w:noProof/>
          </w:rPr>
          <w:t>7.5</w:t>
        </w:r>
        <w:r w:rsidR="005632D0">
          <w:rPr>
            <w:rFonts w:asciiTheme="minorHAnsi" w:hAnsiTheme="minorHAnsi" w:eastAsiaTheme="minorEastAsia" w:cstheme="minorBidi"/>
            <w:noProof/>
            <w:sz w:val="22"/>
            <w:szCs w:val="22"/>
          </w:rPr>
          <w:tab/>
        </w:r>
        <w:r w:rsidRPr="003B7A92" w:rsidR="005632D0">
          <w:rPr>
            <w:rStyle w:val="Hyperlink"/>
            <w:noProof/>
          </w:rPr>
          <w:t>Ancillary Services</w:t>
        </w:r>
        <w:r w:rsidR="005632D0">
          <w:rPr>
            <w:noProof/>
            <w:webHidden/>
          </w:rPr>
          <w:tab/>
        </w:r>
        <w:r w:rsidR="005632D0">
          <w:rPr>
            <w:noProof/>
            <w:webHidden/>
          </w:rPr>
          <w:fldChar w:fldCharType="begin"/>
        </w:r>
        <w:r w:rsidR="005632D0">
          <w:rPr>
            <w:noProof/>
            <w:webHidden/>
          </w:rPr>
          <w:instrText xml:space="preserve"> PAGEREF _Toc119238919 \h </w:instrText>
        </w:r>
        <w:r w:rsidR="005632D0">
          <w:rPr>
            <w:noProof/>
            <w:webHidden/>
          </w:rPr>
        </w:r>
        <w:r w:rsidR="005632D0">
          <w:rPr>
            <w:noProof/>
            <w:webHidden/>
          </w:rPr>
          <w:fldChar w:fldCharType="separate"/>
        </w:r>
        <w:r w:rsidR="005632D0">
          <w:rPr>
            <w:noProof/>
            <w:webHidden/>
          </w:rPr>
          <w:t>15</w:t>
        </w:r>
        <w:r w:rsidR="005632D0">
          <w:rPr>
            <w:noProof/>
            <w:webHidden/>
          </w:rPr>
          <w:fldChar w:fldCharType="end"/>
        </w:r>
      </w:hyperlink>
    </w:p>
    <w:p w:rsidR="005632D0" w:rsidRDefault="00510665" w14:paraId="143CB1FD" w14:textId="275813E2">
      <w:pPr>
        <w:pStyle w:val="TOC1"/>
        <w:rPr>
          <w:rFonts w:asciiTheme="minorHAnsi" w:hAnsiTheme="minorHAnsi" w:eastAsiaTheme="minorEastAsia" w:cstheme="minorBidi"/>
          <w:b w:val="0"/>
          <w:noProof/>
          <w:sz w:val="22"/>
          <w:szCs w:val="22"/>
        </w:rPr>
      </w:pPr>
      <w:hyperlink w:history="1" w:anchor="_Toc119238920">
        <w:r w:rsidRPr="003B7A92" w:rsidR="005632D0">
          <w:rPr>
            <w:rStyle w:val="Hyperlink"/>
            <w:noProof/>
          </w:rPr>
          <w:t>Article 8 – Payment Calculations</w:t>
        </w:r>
        <w:r w:rsidR="005632D0">
          <w:rPr>
            <w:noProof/>
            <w:webHidden/>
          </w:rPr>
          <w:tab/>
        </w:r>
        <w:r w:rsidR="005632D0">
          <w:rPr>
            <w:noProof/>
            <w:webHidden/>
          </w:rPr>
          <w:fldChar w:fldCharType="begin"/>
        </w:r>
        <w:r w:rsidR="005632D0">
          <w:rPr>
            <w:noProof/>
            <w:webHidden/>
          </w:rPr>
          <w:instrText xml:space="preserve"> PAGEREF _Toc119238920 \h </w:instrText>
        </w:r>
        <w:r w:rsidR="005632D0">
          <w:rPr>
            <w:noProof/>
            <w:webHidden/>
          </w:rPr>
        </w:r>
        <w:r w:rsidR="005632D0">
          <w:rPr>
            <w:noProof/>
            <w:webHidden/>
          </w:rPr>
          <w:fldChar w:fldCharType="separate"/>
        </w:r>
        <w:r w:rsidR="005632D0">
          <w:rPr>
            <w:noProof/>
            <w:webHidden/>
          </w:rPr>
          <w:t>15</w:t>
        </w:r>
        <w:r w:rsidR="005632D0">
          <w:rPr>
            <w:noProof/>
            <w:webHidden/>
          </w:rPr>
          <w:fldChar w:fldCharType="end"/>
        </w:r>
      </w:hyperlink>
    </w:p>
    <w:p w:rsidR="005632D0" w:rsidRDefault="00510665" w14:paraId="7784E404" w14:textId="4343F83C">
      <w:pPr>
        <w:pStyle w:val="TOC2"/>
        <w:rPr>
          <w:rFonts w:asciiTheme="minorHAnsi" w:hAnsiTheme="minorHAnsi" w:eastAsiaTheme="minorEastAsia" w:cstheme="minorBidi"/>
          <w:noProof/>
          <w:sz w:val="22"/>
          <w:szCs w:val="22"/>
        </w:rPr>
      </w:pPr>
      <w:hyperlink w:history="1" w:anchor="_Toc119238921">
        <w:r w:rsidRPr="003B7A92" w:rsidR="005632D0">
          <w:rPr>
            <w:rStyle w:val="Hyperlink"/>
            <w:noProof/>
          </w:rPr>
          <w:t>8.1</w:t>
        </w:r>
        <w:r w:rsidR="005632D0">
          <w:rPr>
            <w:rFonts w:asciiTheme="minorHAnsi" w:hAnsiTheme="minorHAnsi" w:eastAsiaTheme="minorEastAsia" w:cstheme="minorBidi"/>
            <w:noProof/>
            <w:sz w:val="22"/>
            <w:szCs w:val="22"/>
          </w:rPr>
          <w:tab/>
        </w:r>
        <w:r w:rsidRPr="003B7A92" w:rsidR="005632D0">
          <w:rPr>
            <w:rStyle w:val="Hyperlink"/>
            <w:noProof/>
          </w:rPr>
          <w:t>Variable O&amp;M Payment</w:t>
        </w:r>
        <w:r w:rsidR="005632D0">
          <w:rPr>
            <w:noProof/>
            <w:webHidden/>
          </w:rPr>
          <w:tab/>
        </w:r>
        <w:r w:rsidR="005632D0">
          <w:rPr>
            <w:noProof/>
            <w:webHidden/>
          </w:rPr>
          <w:fldChar w:fldCharType="begin"/>
        </w:r>
        <w:r w:rsidR="005632D0">
          <w:rPr>
            <w:noProof/>
            <w:webHidden/>
          </w:rPr>
          <w:instrText xml:space="preserve"> PAGEREF _Toc119238921 \h </w:instrText>
        </w:r>
        <w:r w:rsidR="005632D0">
          <w:rPr>
            <w:noProof/>
            <w:webHidden/>
          </w:rPr>
        </w:r>
        <w:r w:rsidR="005632D0">
          <w:rPr>
            <w:noProof/>
            <w:webHidden/>
          </w:rPr>
          <w:fldChar w:fldCharType="separate"/>
        </w:r>
        <w:r w:rsidR="005632D0">
          <w:rPr>
            <w:noProof/>
            <w:webHidden/>
          </w:rPr>
          <w:t>15</w:t>
        </w:r>
        <w:r w:rsidR="005632D0">
          <w:rPr>
            <w:noProof/>
            <w:webHidden/>
          </w:rPr>
          <w:fldChar w:fldCharType="end"/>
        </w:r>
      </w:hyperlink>
    </w:p>
    <w:p w:rsidR="005632D0" w:rsidRDefault="00510665" w14:paraId="402C54A1" w14:textId="229F7298">
      <w:pPr>
        <w:pStyle w:val="TOC2"/>
        <w:rPr>
          <w:rFonts w:asciiTheme="minorHAnsi" w:hAnsiTheme="minorHAnsi" w:eastAsiaTheme="minorEastAsia" w:cstheme="minorBidi"/>
          <w:noProof/>
          <w:sz w:val="22"/>
          <w:szCs w:val="22"/>
        </w:rPr>
      </w:pPr>
      <w:hyperlink w:history="1" w:anchor="_Toc119238922">
        <w:r w:rsidRPr="003B7A92" w:rsidR="005632D0">
          <w:rPr>
            <w:rStyle w:val="Hyperlink"/>
            <w:noProof/>
          </w:rPr>
          <w:t>8.2</w:t>
        </w:r>
        <w:r w:rsidR="005632D0">
          <w:rPr>
            <w:rFonts w:asciiTheme="minorHAnsi" w:hAnsiTheme="minorHAnsi" w:eastAsiaTheme="minorEastAsia" w:cstheme="minorBidi"/>
            <w:noProof/>
            <w:sz w:val="22"/>
            <w:szCs w:val="22"/>
          </w:rPr>
          <w:tab/>
        </w:r>
        <w:r w:rsidRPr="003B7A92" w:rsidR="005632D0">
          <w:rPr>
            <w:rStyle w:val="Hyperlink"/>
            <w:noProof/>
          </w:rPr>
          <w:t>Payment for Contract Capacity</w:t>
        </w:r>
        <w:r w:rsidR="005632D0">
          <w:rPr>
            <w:noProof/>
            <w:webHidden/>
          </w:rPr>
          <w:tab/>
        </w:r>
        <w:r w:rsidR="005632D0">
          <w:rPr>
            <w:noProof/>
            <w:webHidden/>
          </w:rPr>
          <w:fldChar w:fldCharType="begin"/>
        </w:r>
        <w:r w:rsidR="005632D0">
          <w:rPr>
            <w:noProof/>
            <w:webHidden/>
          </w:rPr>
          <w:instrText xml:space="preserve"> PAGEREF _Toc119238922 \h </w:instrText>
        </w:r>
        <w:r w:rsidR="005632D0">
          <w:rPr>
            <w:noProof/>
            <w:webHidden/>
          </w:rPr>
        </w:r>
        <w:r w:rsidR="005632D0">
          <w:rPr>
            <w:noProof/>
            <w:webHidden/>
          </w:rPr>
          <w:fldChar w:fldCharType="separate"/>
        </w:r>
        <w:r w:rsidR="005632D0">
          <w:rPr>
            <w:noProof/>
            <w:webHidden/>
          </w:rPr>
          <w:t>16</w:t>
        </w:r>
        <w:r w:rsidR="005632D0">
          <w:rPr>
            <w:noProof/>
            <w:webHidden/>
          </w:rPr>
          <w:fldChar w:fldCharType="end"/>
        </w:r>
      </w:hyperlink>
    </w:p>
    <w:p w:rsidR="005632D0" w:rsidRDefault="00510665" w14:paraId="7FB782F8" w14:textId="337766AD">
      <w:pPr>
        <w:pStyle w:val="TOC2"/>
        <w:rPr>
          <w:rFonts w:asciiTheme="minorHAnsi" w:hAnsiTheme="minorHAnsi" w:eastAsiaTheme="minorEastAsia" w:cstheme="minorBidi"/>
          <w:noProof/>
          <w:sz w:val="22"/>
          <w:szCs w:val="22"/>
        </w:rPr>
      </w:pPr>
      <w:hyperlink w:history="1" w:anchor="_Toc119238923">
        <w:r w:rsidRPr="003B7A92" w:rsidR="005632D0">
          <w:rPr>
            <w:rStyle w:val="Hyperlink"/>
            <w:noProof/>
          </w:rPr>
          <w:t>8.3</w:t>
        </w:r>
        <w:r w:rsidR="005632D0">
          <w:rPr>
            <w:rFonts w:asciiTheme="minorHAnsi" w:hAnsiTheme="minorHAnsi" w:eastAsiaTheme="minorEastAsia" w:cstheme="minorBidi"/>
            <w:noProof/>
            <w:sz w:val="22"/>
            <w:szCs w:val="22"/>
          </w:rPr>
          <w:tab/>
        </w:r>
        <w:r w:rsidRPr="003B7A92" w:rsidR="005632D0">
          <w:rPr>
            <w:rStyle w:val="Hyperlink"/>
            <w:noProof/>
          </w:rPr>
          <w:t>Reserved</w:t>
        </w:r>
        <w:r w:rsidR="005632D0">
          <w:rPr>
            <w:noProof/>
            <w:webHidden/>
          </w:rPr>
          <w:tab/>
        </w:r>
        <w:r w:rsidR="005632D0">
          <w:rPr>
            <w:noProof/>
            <w:webHidden/>
          </w:rPr>
          <w:fldChar w:fldCharType="begin"/>
        </w:r>
        <w:r w:rsidR="005632D0">
          <w:rPr>
            <w:noProof/>
            <w:webHidden/>
          </w:rPr>
          <w:instrText xml:space="preserve"> PAGEREF _Toc119238923 \h </w:instrText>
        </w:r>
        <w:r w:rsidR="005632D0">
          <w:rPr>
            <w:noProof/>
            <w:webHidden/>
          </w:rPr>
        </w:r>
        <w:r w:rsidR="005632D0">
          <w:rPr>
            <w:noProof/>
            <w:webHidden/>
          </w:rPr>
          <w:fldChar w:fldCharType="separate"/>
        </w:r>
        <w:r w:rsidR="005632D0">
          <w:rPr>
            <w:noProof/>
            <w:webHidden/>
          </w:rPr>
          <w:t>16</w:t>
        </w:r>
        <w:r w:rsidR="005632D0">
          <w:rPr>
            <w:noProof/>
            <w:webHidden/>
          </w:rPr>
          <w:fldChar w:fldCharType="end"/>
        </w:r>
      </w:hyperlink>
    </w:p>
    <w:p w:rsidR="005632D0" w:rsidRDefault="00510665" w14:paraId="3E28662B" w14:textId="3AEDF6FC">
      <w:pPr>
        <w:pStyle w:val="TOC2"/>
        <w:rPr>
          <w:rFonts w:asciiTheme="minorHAnsi" w:hAnsiTheme="minorHAnsi" w:eastAsiaTheme="minorEastAsia" w:cstheme="minorBidi"/>
          <w:noProof/>
          <w:sz w:val="22"/>
          <w:szCs w:val="22"/>
        </w:rPr>
      </w:pPr>
      <w:hyperlink w:history="1" w:anchor="_Toc119238924">
        <w:r w:rsidRPr="003B7A92" w:rsidR="005632D0">
          <w:rPr>
            <w:rStyle w:val="Hyperlink"/>
            <w:noProof/>
          </w:rPr>
          <w:t>8.4</w:t>
        </w:r>
        <w:r w:rsidR="005632D0">
          <w:rPr>
            <w:rFonts w:asciiTheme="minorHAnsi" w:hAnsiTheme="minorHAnsi" w:eastAsiaTheme="minorEastAsia" w:cstheme="minorBidi"/>
            <w:noProof/>
            <w:sz w:val="22"/>
            <w:szCs w:val="22"/>
          </w:rPr>
          <w:tab/>
        </w:r>
        <w:r w:rsidRPr="003B7A92" w:rsidR="005632D0">
          <w:rPr>
            <w:rStyle w:val="Hyperlink"/>
            <w:noProof/>
          </w:rPr>
          <w:t>Monthly Payment Reduction</w:t>
        </w:r>
        <w:r w:rsidR="005632D0">
          <w:rPr>
            <w:noProof/>
            <w:webHidden/>
          </w:rPr>
          <w:tab/>
        </w:r>
        <w:r w:rsidR="005632D0">
          <w:rPr>
            <w:noProof/>
            <w:webHidden/>
          </w:rPr>
          <w:fldChar w:fldCharType="begin"/>
        </w:r>
        <w:r w:rsidR="005632D0">
          <w:rPr>
            <w:noProof/>
            <w:webHidden/>
          </w:rPr>
          <w:instrText xml:space="preserve"> PAGEREF _Toc119238924 \h </w:instrText>
        </w:r>
        <w:r w:rsidR="005632D0">
          <w:rPr>
            <w:noProof/>
            <w:webHidden/>
          </w:rPr>
        </w:r>
        <w:r w:rsidR="005632D0">
          <w:rPr>
            <w:noProof/>
            <w:webHidden/>
          </w:rPr>
          <w:fldChar w:fldCharType="separate"/>
        </w:r>
        <w:r w:rsidR="005632D0">
          <w:rPr>
            <w:noProof/>
            <w:webHidden/>
          </w:rPr>
          <w:t>16</w:t>
        </w:r>
        <w:r w:rsidR="005632D0">
          <w:rPr>
            <w:noProof/>
            <w:webHidden/>
          </w:rPr>
          <w:fldChar w:fldCharType="end"/>
        </w:r>
      </w:hyperlink>
    </w:p>
    <w:p w:rsidR="005632D0" w:rsidRDefault="00510665" w14:paraId="2EE4660D" w14:textId="159A1AC9">
      <w:pPr>
        <w:pStyle w:val="TOC2"/>
        <w:rPr>
          <w:rFonts w:asciiTheme="minorHAnsi" w:hAnsiTheme="minorHAnsi" w:eastAsiaTheme="minorEastAsia" w:cstheme="minorBidi"/>
          <w:noProof/>
          <w:sz w:val="22"/>
          <w:szCs w:val="22"/>
        </w:rPr>
      </w:pPr>
      <w:hyperlink w:history="1" w:anchor="_Toc119238925">
        <w:r w:rsidRPr="003B7A92" w:rsidR="005632D0">
          <w:rPr>
            <w:rStyle w:val="Hyperlink"/>
            <w:noProof/>
          </w:rPr>
          <w:t>8.5</w:t>
        </w:r>
        <w:r w:rsidR="005632D0">
          <w:rPr>
            <w:rFonts w:asciiTheme="minorHAnsi" w:hAnsiTheme="minorHAnsi" w:eastAsiaTheme="minorEastAsia" w:cstheme="minorBidi"/>
            <w:noProof/>
            <w:sz w:val="22"/>
            <w:szCs w:val="22"/>
          </w:rPr>
          <w:tab/>
        </w:r>
        <w:r w:rsidRPr="003B7A92" w:rsidR="005632D0">
          <w:rPr>
            <w:rStyle w:val="Hyperlink"/>
            <w:noProof/>
          </w:rPr>
          <w:t>Excess Throughput Charge</w:t>
        </w:r>
        <w:r w:rsidR="005632D0">
          <w:rPr>
            <w:noProof/>
            <w:webHidden/>
          </w:rPr>
          <w:tab/>
        </w:r>
        <w:r w:rsidR="005632D0">
          <w:rPr>
            <w:noProof/>
            <w:webHidden/>
          </w:rPr>
          <w:fldChar w:fldCharType="begin"/>
        </w:r>
        <w:r w:rsidR="005632D0">
          <w:rPr>
            <w:noProof/>
            <w:webHidden/>
          </w:rPr>
          <w:instrText xml:space="preserve"> PAGEREF _Toc119238925 \h </w:instrText>
        </w:r>
        <w:r w:rsidR="005632D0">
          <w:rPr>
            <w:noProof/>
            <w:webHidden/>
          </w:rPr>
        </w:r>
        <w:r w:rsidR="005632D0">
          <w:rPr>
            <w:noProof/>
            <w:webHidden/>
          </w:rPr>
          <w:fldChar w:fldCharType="separate"/>
        </w:r>
        <w:r w:rsidR="005632D0">
          <w:rPr>
            <w:noProof/>
            <w:webHidden/>
          </w:rPr>
          <w:t>20</w:t>
        </w:r>
        <w:r w:rsidR="005632D0">
          <w:rPr>
            <w:noProof/>
            <w:webHidden/>
          </w:rPr>
          <w:fldChar w:fldCharType="end"/>
        </w:r>
      </w:hyperlink>
    </w:p>
    <w:p w:rsidR="005632D0" w:rsidRDefault="00510665" w14:paraId="0B2BBFD1" w14:textId="7E747410">
      <w:pPr>
        <w:pStyle w:val="TOC2"/>
        <w:rPr>
          <w:rFonts w:asciiTheme="minorHAnsi" w:hAnsiTheme="minorHAnsi" w:eastAsiaTheme="minorEastAsia" w:cstheme="minorBidi"/>
          <w:noProof/>
          <w:sz w:val="22"/>
          <w:szCs w:val="22"/>
        </w:rPr>
      </w:pPr>
      <w:hyperlink w:history="1" w:anchor="_Toc119238926">
        <w:r w:rsidRPr="003B7A92" w:rsidR="005632D0">
          <w:rPr>
            <w:rStyle w:val="Hyperlink"/>
            <w:noProof/>
          </w:rPr>
          <w:t>8.6</w:t>
        </w:r>
        <w:r w:rsidR="005632D0">
          <w:rPr>
            <w:rFonts w:asciiTheme="minorHAnsi" w:hAnsiTheme="minorHAnsi" w:eastAsiaTheme="minorEastAsia" w:cstheme="minorBidi"/>
            <w:noProof/>
            <w:sz w:val="22"/>
            <w:szCs w:val="22"/>
          </w:rPr>
          <w:tab/>
        </w:r>
        <w:r w:rsidRPr="003B7A92" w:rsidR="005632D0">
          <w:rPr>
            <w:rStyle w:val="Hyperlink"/>
            <w:noProof/>
          </w:rPr>
          <w:t>Annual Throughput Limit Banking and Borrowing</w:t>
        </w:r>
        <w:r w:rsidR="005632D0">
          <w:rPr>
            <w:noProof/>
            <w:webHidden/>
          </w:rPr>
          <w:tab/>
        </w:r>
        <w:r w:rsidR="005632D0">
          <w:rPr>
            <w:noProof/>
            <w:webHidden/>
          </w:rPr>
          <w:fldChar w:fldCharType="begin"/>
        </w:r>
        <w:r w:rsidR="005632D0">
          <w:rPr>
            <w:noProof/>
            <w:webHidden/>
          </w:rPr>
          <w:instrText xml:space="preserve"> PAGEREF _Toc119238926 \h </w:instrText>
        </w:r>
        <w:r w:rsidR="005632D0">
          <w:rPr>
            <w:noProof/>
            <w:webHidden/>
          </w:rPr>
        </w:r>
        <w:r w:rsidR="005632D0">
          <w:rPr>
            <w:noProof/>
            <w:webHidden/>
          </w:rPr>
          <w:fldChar w:fldCharType="separate"/>
        </w:r>
        <w:r w:rsidR="005632D0">
          <w:rPr>
            <w:noProof/>
            <w:webHidden/>
          </w:rPr>
          <w:t>20</w:t>
        </w:r>
        <w:r w:rsidR="005632D0">
          <w:rPr>
            <w:noProof/>
            <w:webHidden/>
          </w:rPr>
          <w:fldChar w:fldCharType="end"/>
        </w:r>
      </w:hyperlink>
    </w:p>
    <w:p w:rsidR="005632D0" w:rsidRDefault="00510665" w14:paraId="286A6628" w14:textId="5955B652">
      <w:pPr>
        <w:pStyle w:val="TOC1"/>
        <w:rPr>
          <w:rFonts w:asciiTheme="minorHAnsi" w:hAnsiTheme="minorHAnsi" w:eastAsiaTheme="minorEastAsia" w:cstheme="minorBidi"/>
          <w:b w:val="0"/>
          <w:noProof/>
          <w:sz w:val="22"/>
          <w:szCs w:val="22"/>
        </w:rPr>
      </w:pPr>
      <w:hyperlink w:history="1" w:anchor="_Toc119238927">
        <w:r w:rsidRPr="003B7A92" w:rsidR="005632D0">
          <w:rPr>
            <w:rStyle w:val="Hyperlink"/>
            <w:noProof/>
          </w:rPr>
          <w:t>Article 9 – Billing and Payment</w:t>
        </w:r>
        <w:r w:rsidR="005632D0">
          <w:rPr>
            <w:noProof/>
            <w:webHidden/>
          </w:rPr>
          <w:tab/>
        </w:r>
        <w:r w:rsidR="005632D0">
          <w:rPr>
            <w:noProof/>
            <w:webHidden/>
          </w:rPr>
          <w:fldChar w:fldCharType="begin"/>
        </w:r>
        <w:r w:rsidR="005632D0">
          <w:rPr>
            <w:noProof/>
            <w:webHidden/>
          </w:rPr>
          <w:instrText xml:space="preserve"> PAGEREF _Toc119238927 \h </w:instrText>
        </w:r>
        <w:r w:rsidR="005632D0">
          <w:rPr>
            <w:noProof/>
            <w:webHidden/>
          </w:rPr>
        </w:r>
        <w:r w:rsidR="005632D0">
          <w:rPr>
            <w:noProof/>
            <w:webHidden/>
          </w:rPr>
          <w:fldChar w:fldCharType="separate"/>
        </w:r>
        <w:r w:rsidR="005632D0">
          <w:rPr>
            <w:noProof/>
            <w:webHidden/>
          </w:rPr>
          <w:t>20</w:t>
        </w:r>
        <w:r w:rsidR="005632D0">
          <w:rPr>
            <w:noProof/>
            <w:webHidden/>
          </w:rPr>
          <w:fldChar w:fldCharType="end"/>
        </w:r>
      </w:hyperlink>
    </w:p>
    <w:p w:rsidR="005632D0" w:rsidRDefault="00510665" w14:paraId="14DDCCF9" w14:textId="09A58B38">
      <w:pPr>
        <w:pStyle w:val="TOC2"/>
        <w:rPr>
          <w:rFonts w:asciiTheme="minorHAnsi" w:hAnsiTheme="minorHAnsi" w:eastAsiaTheme="minorEastAsia" w:cstheme="minorBidi"/>
          <w:noProof/>
          <w:sz w:val="22"/>
          <w:szCs w:val="22"/>
        </w:rPr>
      </w:pPr>
      <w:hyperlink w:history="1" w:anchor="_Toc119238928">
        <w:r w:rsidRPr="003B7A92" w:rsidR="005632D0">
          <w:rPr>
            <w:rStyle w:val="Hyperlink"/>
            <w:noProof/>
          </w:rPr>
          <w:t>9.1</w:t>
        </w:r>
        <w:r w:rsidR="005632D0">
          <w:rPr>
            <w:rFonts w:asciiTheme="minorHAnsi" w:hAnsiTheme="minorHAnsi" w:eastAsiaTheme="minorEastAsia" w:cstheme="minorBidi"/>
            <w:noProof/>
            <w:sz w:val="22"/>
            <w:szCs w:val="22"/>
          </w:rPr>
          <w:tab/>
        </w:r>
        <w:r w:rsidRPr="003B7A92" w:rsidR="005632D0">
          <w:rPr>
            <w:rStyle w:val="Hyperlink"/>
            <w:noProof/>
          </w:rPr>
          <w:t>Billing</w:t>
        </w:r>
        <w:r w:rsidR="005632D0">
          <w:rPr>
            <w:noProof/>
            <w:webHidden/>
          </w:rPr>
          <w:tab/>
        </w:r>
        <w:r w:rsidR="005632D0">
          <w:rPr>
            <w:noProof/>
            <w:webHidden/>
          </w:rPr>
          <w:fldChar w:fldCharType="begin"/>
        </w:r>
        <w:r w:rsidR="005632D0">
          <w:rPr>
            <w:noProof/>
            <w:webHidden/>
          </w:rPr>
          <w:instrText xml:space="preserve"> PAGEREF _Toc119238928 \h </w:instrText>
        </w:r>
        <w:r w:rsidR="005632D0">
          <w:rPr>
            <w:noProof/>
            <w:webHidden/>
          </w:rPr>
        </w:r>
        <w:r w:rsidR="005632D0">
          <w:rPr>
            <w:noProof/>
            <w:webHidden/>
          </w:rPr>
          <w:fldChar w:fldCharType="separate"/>
        </w:r>
        <w:r w:rsidR="005632D0">
          <w:rPr>
            <w:noProof/>
            <w:webHidden/>
          </w:rPr>
          <w:t>20</w:t>
        </w:r>
        <w:r w:rsidR="005632D0">
          <w:rPr>
            <w:noProof/>
            <w:webHidden/>
          </w:rPr>
          <w:fldChar w:fldCharType="end"/>
        </w:r>
      </w:hyperlink>
    </w:p>
    <w:p w:rsidR="005632D0" w:rsidRDefault="00510665" w14:paraId="1C0D2807" w14:textId="16FFA85C">
      <w:pPr>
        <w:pStyle w:val="TOC2"/>
        <w:rPr>
          <w:rFonts w:asciiTheme="minorHAnsi" w:hAnsiTheme="minorHAnsi" w:eastAsiaTheme="minorEastAsia" w:cstheme="minorBidi"/>
          <w:noProof/>
          <w:sz w:val="22"/>
          <w:szCs w:val="22"/>
        </w:rPr>
      </w:pPr>
      <w:hyperlink w:history="1" w:anchor="_Toc119238929">
        <w:r w:rsidRPr="003B7A92" w:rsidR="005632D0">
          <w:rPr>
            <w:rStyle w:val="Hyperlink"/>
            <w:noProof/>
          </w:rPr>
          <w:t>9.2</w:t>
        </w:r>
        <w:r w:rsidR="005632D0">
          <w:rPr>
            <w:rFonts w:asciiTheme="minorHAnsi" w:hAnsiTheme="minorHAnsi" w:eastAsiaTheme="minorEastAsia" w:cstheme="minorBidi"/>
            <w:noProof/>
            <w:sz w:val="22"/>
            <w:szCs w:val="22"/>
          </w:rPr>
          <w:tab/>
        </w:r>
        <w:r w:rsidRPr="003B7A92" w:rsidR="005632D0">
          <w:rPr>
            <w:rStyle w:val="Hyperlink"/>
            <w:noProof/>
          </w:rPr>
          <w:t>Payment</w:t>
        </w:r>
        <w:r w:rsidR="005632D0">
          <w:rPr>
            <w:noProof/>
            <w:webHidden/>
          </w:rPr>
          <w:tab/>
        </w:r>
        <w:r w:rsidR="005632D0">
          <w:rPr>
            <w:noProof/>
            <w:webHidden/>
          </w:rPr>
          <w:fldChar w:fldCharType="begin"/>
        </w:r>
        <w:r w:rsidR="005632D0">
          <w:rPr>
            <w:noProof/>
            <w:webHidden/>
          </w:rPr>
          <w:instrText xml:space="preserve"> PAGEREF _Toc119238929 \h </w:instrText>
        </w:r>
        <w:r w:rsidR="005632D0">
          <w:rPr>
            <w:noProof/>
            <w:webHidden/>
          </w:rPr>
        </w:r>
        <w:r w:rsidR="005632D0">
          <w:rPr>
            <w:noProof/>
            <w:webHidden/>
          </w:rPr>
          <w:fldChar w:fldCharType="separate"/>
        </w:r>
        <w:r w:rsidR="005632D0">
          <w:rPr>
            <w:noProof/>
            <w:webHidden/>
          </w:rPr>
          <w:t>21</w:t>
        </w:r>
        <w:r w:rsidR="005632D0">
          <w:rPr>
            <w:noProof/>
            <w:webHidden/>
          </w:rPr>
          <w:fldChar w:fldCharType="end"/>
        </w:r>
      </w:hyperlink>
    </w:p>
    <w:p w:rsidR="005632D0" w:rsidRDefault="00510665" w14:paraId="3FC55787" w14:textId="5885172A">
      <w:pPr>
        <w:pStyle w:val="TOC2"/>
        <w:rPr>
          <w:rFonts w:asciiTheme="minorHAnsi" w:hAnsiTheme="minorHAnsi" w:eastAsiaTheme="minorEastAsia" w:cstheme="minorBidi"/>
          <w:noProof/>
          <w:sz w:val="22"/>
          <w:szCs w:val="22"/>
        </w:rPr>
      </w:pPr>
      <w:hyperlink w:history="1" w:anchor="_Toc119238930">
        <w:r w:rsidRPr="003B7A92" w:rsidR="005632D0">
          <w:rPr>
            <w:rStyle w:val="Hyperlink"/>
            <w:noProof/>
          </w:rPr>
          <w:t>9.3</w:t>
        </w:r>
        <w:r w:rsidR="005632D0">
          <w:rPr>
            <w:rFonts w:asciiTheme="minorHAnsi" w:hAnsiTheme="minorHAnsi" w:eastAsiaTheme="minorEastAsia" w:cstheme="minorBidi"/>
            <w:noProof/>
            <w:sz w:val="22"/>
            <w:szCs w:val="22"/>
          </w:rPr>
          <w:tab/>
        </w:r>
        <w:r w:rsidRPr="003B7A92" w:rsidR="005632D0">
          <w:rPr>
            <w:rStyle w:val="Hyperlink"/>
            <w:noProof/>
          </w:rPr>
          <w:t>Billing Disputes</w:t>
        </w:r>
        <w:r w:rsidR="005632D0">
          <w:rPr>
            <w:noProof/>
            <w:webHidden/>
          </w:rPr>
          <w:tab/>
        </w:r>
        <w:r w:rsidR="005632D0">
          <w:rPr>
            <w:noProof/>
            <w:webHidden/>
          </w:rPr>
          <w:fldChar w:fldCharType="begin"/>
        </w:r>
        <w:r w:rsidR="005632D0">
          <w:rPr>
            <w:noProof/>
            <w:webHidden/>
          </w:rPr>
          <w:instrText xml:space="preserve"> PAGEREF _Toc119238930 \h </w:instrText>
        </w:r>
        <w:r w:rsidR="005632D0">
          <w:rPr>
            <w:noProof/>
            <w:webHidden/>
          </w:rPr>
        </w:r>
        <w:r w:rsidR="005632D0">
          <w:rPr>
            <w:noProof/>
            <w:webHidden/>
          </w:rPr>
          <w:fldChar w:fldCharType="separate"/>
        </w:r>
        <w:r w:rsidR="005632D0">
          <w:rPr>
            <w:noProof/>
            <w:webHidden/>
          </w:rPr>
          <w:t>21</w:t>
        </w:r>
        <w:r w:rsidR="005632D0">
          <w:rPr>
            <w:noProof/>
            <w:webHidden/>
          </w:rPr>
          <w:fldChar w:fldCharType="end"/>
        </w:r>
      </w:hyperlink>
    </w:p>
    <w:p w:rsidR="005632D0" w:rsidRDefault="00510665" w14:paraId="10BBBEB9" w14:textId="6903852B">
      <w:pPr>
        <w:pStyle w:val="TOC1"/>
        <w:rPr>
          <w:rFonts w:asciiTheme="minorHAnsi" w:hAnsiTheme="minorHAnsi" w:eastAsiaTheme="minorEastAsia" w:cstheme="minorBidi"/>
          <w:b w:val="0"/>
          <w:noProof/>
          <w:sz w:val="22"/>
          <w:szCs w:val="22"/>
        </w:rPr>
      </w:pPr>
      <w:hyperlink w:history="1" w:anchor="_Toc119238931">
        <w:r w:rsidRPr="003B7A92" w:rsidR="005632D0">
          <w:rPr>
            <w:rStyle w:val="Hyperlink"/>
            <w:noProof/>
          </w:rPr>
          <w:t>Article 10 – Operations and Maintenance</w:t>
        </w:r>
        <w:r w:rsidR="005632D0">
          <w:rPr>
            <w:noProof/>
            <w:webHidden/>
          </w:rPr>
          <w:tab/>
        </w:r>
        <w:r w:rsidR="005632D0">
          <w:rPr>
            <w:noProof/>
            <w:webHidden/>
          </w:rPr>
          <w:fldChar w:fldCharType="begin"/>
        </w:r>
        <w:r w:rsidR="005632D0">
          <w:rPr>
            <w:noProof/>
            <w:webHidden/>
          </w:rPr>
          <w:instrText xml:space="preserve"> PAGEREF _Toc119238931 \h </w:instrText>
        </w:r>
        <w:r w:rsidR="005632D0">
          <w:rPr>
            <w:noProof/>
            <w:webHidden/>
          </w:rPr>
        </w:r>
        <w:r w:rsidR="005632D0">
          <w:rPr>
            <w:noProof/>
            <w:webHidden/>
          </w:rPr>
          <w:fldChar w:fldCharType="separate"/>
        </w:r>
        <w:r w:rsidR="005632D0">
          <w:rPr>
            <w:noProof/>
            <w:webHidden/>
          </w:rPr>
          <w:t>21</w:t>
        </w:r>
        <w:r w:rsidR="005632D0">
          <w:rPr>
            <w:noProof/>
            <w:webHidden/>
          </w:rPr>
          <w:fldChar w:fldCharType="end"/>
        </w:r>
      </w:hyperlink>
    </w:p>
    <w:p w:rsidR="005632D0" w:rsidRDefault="00510665" w14:paraId="0D90692C" w14:textId="47BCDF04">
      <w:pPr>
        <w:pStyle w:val="TOC2"/>
        <w:rPr>
          <w:rFonts w:asciiTheme="minorHAnsi" w:hAnsiTheme="minorHAnsi" w:eastAsiaTheme="minorEastAsia" w:cstheme="minorBidi"/>
          <w:noProof/>
          <w:sz w:val="22"/>
          <w:szCs w:val="22"/>
        </w:rPr>
      </w:pPr>
      <w:hyperlink w:history="1" w:anchor="_Toc119238932">
        <w:r w:rsidRPr="003B7A92" w:rsidR="005632D0">
          <w:rPr>
            <w:rStyle w:val="Hyperlink"/>
            <w:noProof/>
          </w:rPr>
          <w:t>10.1</w:t>
        </w:r>
        <w:r w:rsidR="005632D0">
          <w:rPr>
            <w:rFonts w:asciiTheme="minorHAnsi" w:hAnsiTheme="minorHAnsi" w:eastAsiaTheme="minorEastAsia" w:cstheme="minorBidi"/>
            <w:noProof/>
            <w:sz w:val="22"/>
            <w:szCs w:val="22"/>
          </w:rPr>
          <w:tab/>
        </w:r>
        <w:r w:rsidRPr="003B7A92" w:rsidR="005632D0">
          <w:rPr>
            <w:rStyle w:val="Hyperlink"/>
            <w:noProof/>
          </w:rPr>
          <w:t>Operation and Administration</w:t>
        </w:r>
        <w:r w:rsidR="005632D0">
          <w:rPr>
            <w:noProof/>
            <w:webHidden/>
          </w:rPr>
          <w:tab/>
        </w:r>
        <w:r w:rsidR="005632D0">
          <w:rPr>
            <w:noProof/>
            <w:webHidden/>
          </w:rPr>
          <w:fldChar w:fldCharType="begin"/>
        </w:r>
        <w:r w:rsidR="005632D0">
          <w:rPr>
            <w:noProof/>
            <w:webHidden/>
          </w:rPr>
          <w:instrText xml:space="preserve"> PAGEREF _Toc119238932 \h </w:instrText>
        </w:r>
        <w:r w:rsidR="005632D0">
          <w:rPr>
            <w:noProof/>
            <w:webHidden/>
          </w:rPr>
        </w:r>
        <w:r w:rsidR="005632D0">
          <w:rPr>
            <w:noProof/>
            <w:webHidden/>
          </w:rPr>
          <w:fldChar w:fldCharType="separate"/>
        </w:r>
        <w:r w:rsidR="005632D0">
          <w:rPr>
            <w:noProof/>
            <w:webHidden/>
          </w:rPr>
          <w:t>21</w:t>
        </w:r>
        <w:r w:rsidR="005632D0">
          <w:rPr>
            <w:noProof/>
            <w:webHidden/>
          </w:rPr>
          <w:fldChar w:fldCharType="end"/>
        </w:r>
      </w:hyperlink>
    </w:p>
    <w:p w:rsidR="005632D0" w:rsidRDefault="00510665" w14:paraId="781F65AB" w14:textId="3888CD21">
      <w:pPr>
        <w:pStyle w:val="TOC2"/>
        <w:rPr>
          <w:rFonts w:asciiTheme="minorHAnsi" w:hAnsiTheme="minorHAnsi" w:eastAsiaTheme="minorEastAsia" w:cstheme="minorBidi"/>
          <w:noProof/>
          <w:sz w:val="22"/>
          <w:szCs w:val="22"/>
        </w:rPr>
      </w:pPr>
      <w:hyperlink w:history="1" w:anchor="_Toc119238933">
        <w:r w:rsidRPr="003B7A92" w:rsidR="005632D0">
          <w:rPr>
            <w:rStyle w:val="Hyperlink"/>
            <w:noProof/>
          </w:rPr>
          <w:t>10.2</w:t>
        </w:r>
        <w:r w:rsidR="005632D0">
          <w:rPr>
            <w:rFonts w:asciiTheme="minorHAnsi" w:hAnsiTheme="minorHAnsi" w:eastAsiaTheme="minorEastAsia" w:cstheme="minorBidi"/>
            <w:noProof/>
            <w:sz w:val="22"/>
            <w:szCs w:val="22"/>
          </w:rPr>
          <w:tab/>
        </w:r>
        <w:r w:rsidRPr="003B7A92" w:rsidR="005632D0">
          <w:rPr>
            <w:rStyle w:val="Hyperlink"/>
            <w:noProof/>
          </w:rPr>
          <w:t>Facility Maintenance</w:t>
        </w:r>
        <w:r w:rsidR="005632D0">
          <w:rPr>
            <w:noProof/>
            <w:webHidden/>
          </w:rPr>
          <w:tab/>
        </w:r>
        <w:r w:rsidR="005632D0">
          <w:rPr>
            <w:noProof/>
            <w:webHidden/>
          </w:rPr>
          <w:fldChar w:fldCharType="begin"/>
        </w:r>
        <w:r w:rsidR="005632D0">
          <w:rPr>
            <w:noProof/>
            <w:webHidden/>
          </w:rPr>
          <w:instrText xml:space="preserve"> PAGEREF _Toc119238933 \h </w:instrText>
        </w:r>
        <w:r w:rsidR="005632D0">
          <w:rPr>
            <w:noProof/>
            <w:webHidden/>
          </w:rPr>
        </w:r>
        <w:r w:rsidR="005632D0">
          <w:rPr>
            <w:noProof/>
            <w:webHidden/>
          </w:rPr>
          <w:fldChar w:fldCharType="separate"/>
        </w:r>
        <w:r w:rsidR="005632D0">
          <w:rPr>
            <w:noProof/>
            <w:webHidden/>
          </w:rPr>
          <w:t>22</w:t>
        </w:r>
        <w:r w:rsidR="005632D0">
          <w:rPr>
            <w:noProof/>
            <w:webHidden/>
          </w:rPr>
          <w:fldChar w:fldCharType="end"/>
        </w:r>
      </w:hyperlink>
    </w:p>
    <w:p w:rsidR="005632D0" w:rsidRDefault="00510665" w14:paraId="678C4329" w14:textId="065329FB">
      <w:pPr>
        <w:pStyle w:val="TOC2"/>
        <w:rPr>
          <w:rFonts w:asciiTheme="minorHAnsi" w:hAnsiTheme="minorHAnsi" w:eastAsiaTheme="minorEastAsia" w:cstheme="minorBidi"/>
          <w:noProof/>
          <w:sz w:val="22"/>
          <w:szCs w:val="22"/>
        </w:rPr>
      </w:pPr>
      <w:hyperlink w:history="1" w:anchor="_Toc119238934">
        <w:r w:rsidRPr="003B7A92" w:rsidR="005632D0">
          <w:rPr>
            <w:rStyle w:val="Hyperlink"/>
            <w:noProof/>
          </w:rPr>
          <w:t>10.3</w:t>
        </w:r>
        <w:r w:rsidR="005632D0">
          <w:rPr>
            <w:rFonts w:asciiTheme="minorHAnsi" w:hAnsiTheme="minorHAnsi" w:eastAsiaTheme="minorEastAsia" w:cstheme="minorBidi"/>
            <w:noProof/>
            <w:sz w:val="22"/>
            <w:szCs w:val="22"/>
          </w:rPr>
          <w:tab/>
        </w:r>
        <w:r w:rsidRPr="003B7A92" w:rsidR="005632D0">
          <w:rPr>
            <w:rStyle w:val="Hyperlink"/>
            <w:noProof/>
          </w:rPr>
          <w:t>Repair Obligations</w:t>
        </w:r>
        <w:r w:rsidR="005632D0">
          <w:rPr>
            <w:noProof/>
            <w:webHidden/>
          </w:rPr>
          <w:tab/>
        </w:r>
        <w:r w:rsidR="005632D0">
          <w:rPr>
            <w:noProof/>
            <w:webHidden/>
          </w:rPr>
          <w:fldChar w:fldCharType="begin"/>
        </w:r>
        <w:r w:rsidR="005632D0">
          <w:rPr>
            <w:noProof/>
            <w:webHidden/>
          </w:rPr>
          <w:instrText xml:space="preserve"> PAGEREF _Toc119238934 \h </w:instrText>
        </w:r>
        <w:r w:rsidR="005632D0">
          <w:rPr>
            <w:noProof/>
            <w:webHidden/>
          </w:rPr>
        </w:r>
        <w:r w:rsidR="005632D0">
          <w:rPr>
            <w:noProof/>
            <w:webHidden/>
          </w:rPr>
          <w:fldChar w:fldCharType="separate"/>
        </w:r>
        <w:r w:rsidR="005632D0">
          <w:rPr>
            <w:noProof/>
            <w:webHidden/>
          </w:rPr>
          <w:t>22</w:t>
        </w:r>
        <w:r w:rsidR="005632D0">
          <w:rPr>
            <w:noProof/>
            <w:webHidden/>
          </w:rPr>
          <w:fldChar w:fldCharType="end"/>
        </w:r>
      </w:hyperlink>
    </w:p>
    <w:p w:rsidR="005632D0" w:rsidRDefault="00510665" w14:paraId="0AF9676C" w14:textId="2C660002">
      <w:pPr>
        <w:pStyle w:val="TOC2"/>
        <w:rPr>
          <w:rFonts w:asciiTheme="minorHAnsi" w:hAnsiTheme="minorHAnsi" w:eastAsiaTheme="minorEastAsia" w:cstheme="minorBidi"/>
          <w:noProof/>
          <w:sz w:val="22"/>
          <w:szCs w:val="22"/>
        </w:rPr>
      </w:pPr>
      <w:hyperlink w:history="1" w:anchor="_Toc119238935">
        <w:r w:rsidRPr="003B7A92" w:rsidR="005632D0">
          <w:rPr>
            <w:rStyle w:val="Hyperlink"/>
            <w:noProof/>
          </w:rPr>
          <w:t>10.4</w:t>
        </w:r>
        <w:r w:rsidR="005632D0">
          <w:rPr>
            <w:rFonts w:asciiTheme="minorHAnsi" w:hAnsiTheme="minorHAnsi" w:eastAsiaTheme="minorEastAsia" w:cstheme="minorBidi"/>
            <w:noProof/>
            <w:sz w:val="22"/>
            <w:szCs w:val="22"/>
          </w:rPr>
          <w:tab/>
        </w:r>
        <w:r w:rsidRPr="003B7A92" w:rsidR="005632D0">
          <w:rPr>
            <w:rStyle w:val="Hyperlink"/>
            <w:noProof/>
          </w:rPr>
          <w:t>Books and Records</w:t>
        </w:r>
        <w:r w:rsidR="005632D0">
          <w:rPr>
            <w:noProof/>
            <w:webHidden/>
          </w:rPr>
          <w:tab/>
        </w:r>
        <w:r w:rsidR="005632D0">
          <w:rPr>
            <w:noProof/>
            <w:webHidden/>
          </w:rPr>
          <w:fldChar w:fldCharType="begin"/>
        </w:r>
        <w:r w:rsidR="005632D0">
          <w:rPr>
            <w:noProof/>
            <w:webHidden/>
          </w:rPr>
          <w:instrText xml:space="preserve"> PAGEREF _Toc119238935 \h </w:instrText>
        </w:r>
        <w:r w:rsidR="005632D0">
          <w:rPr>
            <w:noProof/>
            <w:webHidden/>
          </w:rPr>
        </w:r>
        <w:r w:rsidR="005632D0">
          <w:rPr>
            <w:noProof/>
            <w:webHidden/>
          </w:rPr>
          <w:fldChar w:fldCharType="separate"/>
        </w:r>
        <w:r w:rsidR="005632D0">
          <w:rPr>
            <w:noProof/>
            <w:webHidden/>
          </w:rPr>
          <w:t>23</w:t>
        </w:r>
        <w:r w:rsidR="005632D0">
          <w:rPr>
            <w:noProof/>
            <w:webHidden/>
          </w:rPr>
          <w:fldChar w:fldCharType="end"/>
        </w:r>
      </w:hyperlink>
    </w:p>
    <w:p w:rsidR="005632D0" w:rsidRDefault="00510665" w14:paraId="1D014073" w14:textId="748925A5">
      <w:pPr>
        <w:pStyle w:val="TOC2"/>
        <w:rPr>
          <w:rFonts w:asciiTheme="minorHAnsi" w:hAnsiTheme="minorHAnsi" w:eastAsiaTheme="minorEastAsia" w:cstheme="minorBidi"/>
          <w:noProof/>
          <w:sz w:val="22"/>
          <w:szCs w:val="22"/>
        </w:rPr>
      </w:pPr>
      <w:hyperlink w:history="1" w:anchor="_Toc119238936">
        <w:r w:rsidRPr="003B7A92" w:rsidR="005632D0">
          <w:rPr>
            <w:rStyle w:val="Hyperlink"/>
            <w:noProof/>
          </w:rPr>
          <w:t>10.5</w:t>
        </w:r>
        <w:r w:rsidR="005632D0">
          <w:rPr>
            <w:rFonts w:asciiTheme="minorHAnsi" w:hAnsiTheme="minorHAnsi" w:eastAsiaTheme="minorEastAsia" w:cstheme="minorBidi"/>
            <w:noProof/>
            <w:sz w:val="22"/>
            <w:szCs w:val="22"/>
          </w:rPr>
          <w:tab/>
        </w:r>
        <w:r w:rsidRPr="003B7A92" w:rsidR="005632D0">
          <w:rPr>
            <w:rStyle w:val="Hyperlink"/>
            <w:noProof/>
          </w:rPr>
          <w:t>Access to Facility</w:t>
        </w:r>
        <w:r w:rsidR="005632D0">
          <w:rPr>
            <w:noProof/>
            <w:webHidden/>
          </w:rPr>
          <w:tab/>
        </w:r>
        <w:r w:rsidR="005632D0">
          <w:rPr>
            <w:noProof/>
            <w:webHidden/>
          </w:rPr>
          <w:fldChar w:fldCharType="begin"/>
        </w:r>
        <w:r w:rsidR="005632D0">
          <w:rPr>
            <w:noProof/>
            <w:webHidden/>
          </w:rPr>
          <w:instrText xml:space="preserve"> PAGEREF _Toc119238936 \h </w:instrText>
        </w:r>
        <w:r w:rsidR="005632D0">
          <w:rPr>
            <w:noProof/>
            <w:webHidden/>
          </w:rPr>
        </w:r>
        <w:r w:rsidR="005632D0">
          <w:rPr>
            <w:noProof/>
            <w:webHidden/>
          </w:rPr>
          <w:fldChar w:fldCharType="separate"/>
        </w:r>
        <w:r w:rsidR="005632D0">
          <w:rPr>
            <w:noProof/>
            <w:webHidden/>
          </w:rPr>
          <w:t>24</w:t>
        </w:r>
        <w:r w:rsidR="005632D0">
          <w:rPr>
            <w:noProof/>
            <w:webHidden/>
          </w:rPr>
          <w:fldChar w:fldCharType="end"/>
        </w:r>
      </w:hyperlink>
    </w:p>
    <w:p w:rsidR="005632D0" w:rsidRDefault="00510665" w14:paraId="541247AE" w14:textId="17C153DB">
      <w:pPr>
        <w:pStyle w:val="TOC2"/>
        <w:rPr>
          <w:rFonts w:asciiTheme="minorHAnsi" w:hAnsiTheme="minorHAnsi" w:eastAsiaTheme="minorEastAsia" w:cstheme="minorBidi"/>
          <w:noProof/>
          <w:sz w:val="22"/>
          <w:szCs w:val="22"/>
        </w:rPr>
      </w:pPr>
      <w:hyperlink w:history="1" w:anchor="_Toc119238937">
        <w:r w:rsidRPr="003B7A92" w:rsidR="005632D0">
          <w:rPr>
            <w:rStyle w:val="Hyperlink"/>
            <w:noProof/>
          </w:rPr>
          <w:t>10.6</w:t>
        </w:r>
        <w:r w:rsidR="005632D0">
          <w:rPr>
            <w:rFonts w:asciiTheme="minorHAnsi" w:hAnsiTheme="minorHAnsi" w:eastAsiaTheme="minorEastAsia" w:cstheme="minorBidi"/>
            <w:noProof/>
            <w:sz w:val="22"/>
            <w:szCs w:val="22"/>
          </w:rPr>
          <w:tab/>
        </w:r>
        <w:r w:rsidRPr="003B7A92" w:rsidR="005632D0">
          <w:rPr>
            <w:rStyle w:val="Hyperlink"/>
            <w:noProof/>
          </w:rPr>
          <w:t>Real Time Data</w:t>
        </w:r>
        <w:r w:rsidR="005632D0">
          <w:rPr>
            <w:noProof/>
            <w:webHidden/>
          </w:rPr>
          <w:tab/>
        </w:r>
        <w:r w:rsidR="005632D0">
          <w:rPr>
            <w:noProof/>
            <w:webHidden/>
          </w:rPr>
          <w:fldChar w:fldCharType="begin"/>
        </w:r>
        <w:r w:rsidR="005632D0">
          <w:rPr>
            <w:noProof/>
            <w:webHidden/>
          </w:rPr>
          <w:instrText xml:space="preserve"> PAGEREF _Toc119238937 \h </w:instrText>
        </w:r>
        <w:r w:rsidR="005632D0">
          <w:rPr>
            <w:noProof/>
            <w:webHidden/>
          </w:rPr>
        </w:r>
        <w:r w:rsidR="005632D0">
          <w:rPr>
            <w:noProof/>
            <w:webHidden/>
          </w:rPr>
          <w:fldChar w:fldCharType="separate"/>
        </w:r>
        <w:r w:rsidR="005632D0">
          <w:rPr>
            <w:noProof/>
            <w:webHidden/>
          </w:rPr>
          <w:t>24</w:t>
        </w:r>
        <w:r w:rsidR="005632D0">
          <w:rPr>
            <w:noProof/>
            <w:webHidden/>
          </w:rPr>
          <w:fldChar w:fldCharType="end"/>
        </w:r>
      </w:hyperlink>
    </w:p>
    <w:p w:rsidR="005632D0" w:rsidRDefault="00510665" w14:paraId="5C54B820" w14:textId="3FAFC862">
      <w:pPr>
        <w:pStyle w:val="TOC2"/>
        <w:rPr>
          <w:rFonts w:asciiTheme="minorHAnsi" w:hAnsiTheme="minorHAnsi" w:eastAsiaTheme="minorEastAsia" w:cstheme="minorBidi"/>
          <w:noProof/>
          <w:sz w:val="22"/>
          <w:szCs w:val="22"/>
        </w:rPr>
      </w:pPr>
      <w:hyperlink w:history="1" w:anchor="_Toc119238938">
        <w:r w:rsidRPr="003B7A92" w:rsidR="005632D0">
          <w:rPr>
            <w:rStyle w:val="Hyperlink"/>
            <w:noProof/>
          </w:rPr>
          <w:t>10.7</w:t>
        </w:r>
        <w:r w:rsidR="005632D0">
          <w:rPr>
            <w:rFonts w:asciiTheme="minorHAnsi" w:hAnsiTheme="minorHAnsi" w:eastAsiaTheme="minorEastAsia" w:cstheme="minorBidi"/>
            <w:noProof/>
            <w:sz w:val="22"/>
            <w:szCs w:val="22"/>
          </w:rPr>
          <w:tab/>
        </w:r>
        <w:r w:rsidRPr="003B7A92" w:rsidR="005632D0">
          <w:rPr>
            <w:rStyle w:val="Hyperlink"/>
            <w:noProof/>
          </w:rPr>
          <w:t>Accreditation</w:t>
        </w:r>
        <w:r w:rsidR="005632D0">
          <w:rPr>
            <w:noProof/>
            <w:webHidden/>
          </w:rPr>
          <w:tab/>
        </w:r>
        <w:r w:rsidR="005632D0">
          <w:rPr>
            <w:noProof/>
            <w:webHidden/>
          </w:rPr>
          <w:fldChar w:fldCharType="begin"/>
        </w:r>
        <w:r w:rsidR="005632D0">
          <w:rPr>
            <w:noProof/>
            <w:webHidden/>
          </w:rPr>
          <w:instrText xml:space="preserve"> PAGEREF _Toc119238938 \h </w:instrText>
        </w:r>
        <w:r w:rsidR="005632D0">
          <w:rPr>
            <w:noProof/>
            <w:webHidden/>
          </w:rPr>
        </w:r>
        <w:r w:rsidR="005632D0">
          <w:rPr>
            <w:noProof/>
            <w:webHidden/>
          </w:rPr>
          <w:fldChar w:fldCharType="separate"/>
        </w:r>
        <w:r w:rsidR="005632D0">
          <w:rPr>
            <w:noProof/>
            <w:webHidden/>
          </w:rPr>
          <w:t>24</w:t>
        </w:r>
        <w:r w:rsidR="005632D0">
          <w:rPr>
            <w:noProof/>
            <w:webHidden/>
          </w:rPr>
          <w:fldChar w:fldCharType="end"/>
        </w:r>
      </w:hyperlink>
    </w:p>
    <w:p w:rsidR="005632D0" w:rsidRDefault="00510665" w14:paraId="39287C44" w14:textId="79DAD0F2">
      <w:pPr>
        <w:pStyle w:val="TOC2"/>
        <w:rPr>
          <w:rFonts w:asciiTheme="minorHAnsi" w:hAnsiTheme="minorHAnsi" w:eastAsiaTheme="minorEastAsia" w:cstheme="minorBidi"/>
          <w:noProof/>
          <w:sz w:val="22"/>
          <w:szCs w:val="22"/>
        </w:rPr>
      </w:pPr>
      <w:hyperlink w:history="1" w:anchor="_Toc119238939">
        <w:r w:rsidRPr="003B7A92" w:rsidR="005632D0">
          <w:rPr>
            <w:rStyle w:val="Hyperlink"/>
            <w:noProof/>
          </w:rPr>
          <w:t>10.8</w:t>
        </w:r>
        <w:r w:rsidR="005632D0">
          <w:rPr>
            <w:rFonts w:asciiTheme="minorHAnsi" w:hAnsiTheme="minorHAnsi" w:eastAsiaTheme="minorEastAsia" w:cstheme="minorBidi"/>
            <w:noProof/>
            <w:sz w:val="22"/>
            <w:szCs w:val="22"/>
          </w:rPr>
          <w:tab/>
        </w:r>
        <w:r w:rsidRPr="003B7A92" w:rsidR="005632D0">
          <w:rPr>
            <w:rStyle w:val="Hyperlink"/>
            <w:noProof/>
          </w:rPr>
          <w:t>Operating Committee and Operating Procedures</w:t>
        </w:r>
        <w:r w:rsidR="005632D0">
          <w:rPr>
            <w:noProof/>
            <w:webHidden/>
          </w:rPr>
          <w:tab/>
        </w:r>
        <w:r w:rsidR="005632D0">
          <w:rPr>
            <w:noProof/>
            <w:webHidden/>
          </w:rPr>
          <w:fldChar w:fldCharType="begin"/>
        </w:r>
        <w:r w:rsidR="005632D0">
          <w:rPr>
            <w:noProof/>
            <w:webHidden/>
          </w:rPr>
          <w:instrText xml:space="preserve"> PAGEREF _Toc119238939 \h </w:instrText>
        </w:r>
        <w:r w:rsidR="005632D0">
          <w:rPr>
            <w:noProof/>
            <w:webHidden/>
          </w:rPr>
        </w:r>
        <w:r w:rsidR="005632D0">
          <w:rPr>
            <w:noProof/>
            <w:webHidden/>
          </w:rPr>
          <w:fldChar w:fldCharType="separate"/>
        </w:r>
        <w:r w:rsidR="005632D0">
          <w:rPr>
            <w:noProof/>
            <w:webHidden/>
          </w:rPr>
          <w:t>24</w:t>
        </w:r>
        <w:r w:rsidR="005632D0">
          <w:rPr>
            <w:noProof/>
            <w:webHidden/>
          </w:rPr>
          <w:fldChar w:fldCharType="end"/>
        </w:r>
      </w:hyperlink>
    </w:p>
    <w:p w:rsidR="005632D0" w:rsidRDefault="00510665" w14:paraId="613411F8" w14:textId="75758439">
      <w:pPr>
        <w:pStyle w:val="TOC1"/>
        <w:rPr>
          <w:rFonts w:asciiTheme="minorHAnsi" w:hAnsiTheme="minorHAnsi" w:eastAsiaTheme="minorEastAsia" w:cstheme="minorBidi"/>
          <w:b w:val="0"/>
          <w:noProof/>
          <w:sz w:val="22"/>
          <w:szCs w:val="22"/>
        </w:rPr>
      </w:pPr>
      <w:hyperlink w:history="1" w:anchor="_Toc119238940">
        <w:r w:rsidRPr="003B7A92" w:rsidR="005632D0">
          <w:rPr>
            <w:rStyle w:val="Hyperlink"/>
            <w:noProof/>
          </w:rPr>
          <w:t>Article 11 – Security for Performance</w:t>
        </w:r>
        <w:r w:rsidR="005632D0">
          <w:rPr>
            <w:noProof/>
            <w:webHidden/>
          </w:rPr>
          <w:tab/>
        </w:r>
        <w:r w:rsidR="005632D0">
          <w:rPr>
            <w:noProof/>
            <w:webHidden/>
          </w:rPr>
          <w:fldChar w:fldCharType="begin"/>
        </w:r>
        <w:r w:rsidR="005632D0">
          <w:rPr>
            <w:noProof/>
            <w:webHidden/>
          </w:rPr>
          <w:instrText xml:space="preserve"> PAGEREF _Toc119238940 \h </w:instrText>
        </w:r>
        <w:r w:rsidR="005632D0">
          <w:rPr>
            <w:noProof/>
            <w:webHidden/>
          </w:rPr>
        </w:r>
        <w:r w:rsidR="005632D0">
          <w:rPr>
            <w:noProof/>
            <w:webHidden/>
          </w:rPr>
          <w:fldChar w:fldCharType="separate"/>
        </w:r>
        <w:r w:rsidR="005632D0">
          <w:rPr>
            <w:noProof/>
            <w:webHidden/>
          </w:rPr>
          <w:t>25</w:t>
        </w:r>
        <w:r w:rsidR="005632D0">
          <w:rPr>
            <w:noProof/>
            <w:webHidden/>
          </w:rPr>
          <w:fldChar w:fldCharType="end"/>
        </w:r>
      </w:hyperlink>
    </w:p>
    <w:p w:rsidR="005632D0" w:rsidRDefault="00510665" w14:paraId="25A24C0F" w14:textId="10B2D320">
      <w:pPr>
        <w:pStyle w:val="TOC2"/>
        <w:rPr>
          <w:rFonts w:asciiTheme="minorHAnsi" w:hAnsiTheme="minorHAnsi" w:eastAsiaTheme="minorEastAsia" w:cstheme="minorBidi"/>
          <w:noProof/>
          <w:sz w:val="22"/>
          <w:szCs w:val="22"/>
        </w:rPr>
      </w:pPr>
      <w:hyperlink w:history="1" w:anchor="_Toc119238941">
        <w:r w:rsidRPr="003B7A92" w:rsidR="005632D0">
          <w:rPr>
            <w:rStyle w:val="Hyperlink"/>
            <w:noProof/>
          </w:rPr>
          <w:t>11.1</w:t>
        </w:r>
        <w:r w:rsidR="005632D0">
          <w:rPr>
            <w:rFonts w:asciiTheme="minorHAnsi" w:hAnsiTheme="minorHAnsi" w:eastAsiaTheme="minorEastAsia" w:cstheme="minorBidi"/>
            <w:noProof/>
            <w:sz w:val="22"/>
            <w:szCs w:val="22"/>
          </w:rPr>
          <w:tab/>
        </w:r>
        <w:r w:rsidRPr="003B7A92" w:rsidR="005632D0">
          <w:rPr>
            <w:rStyle w:val="Hyperlink"/>
            <w:noProof/>
          </w:rPr>
          <w:t>Security Fund</w:t>
        </w:r>
        <w:r w:rsidR="005632D0">
          <w:rPr>
            <w:noProof/>
            <w:webHidden/>
          </w:rPr>
          <w:tab/>
        </w:r>
        <w:r w:rsidR="005632D0">
          <w:rPr>
            <w:noProof/>
            <w:webHidden/>
          </w:rPr>
          <w:fldChar w:fldCharType="begin"/>
        </w:r>
        <w:r w:rsidR="005632D0">
          <w:rPr>
            <w:noProof/>
            <w:webHidden/>
          </w:rPr>
          <w:instrText xml:space="preserve"> PAGEREF _Toc119238941 \h </w:instrText>
        </w:r>
        <w:r w:rsidR="005632D0">
          <w:rPr>
            <w:noProof/>
            <w:webHidden/>
          </w:rPr>
        </w:r>
        <w:r w:rsidR="005632D0">
          <w:rPr>
            <w:noProof/>
            <w:webHidden/>
          </w:rPr>
          <w:fldChar w:fldCharType="separate"/>
        </w:r>
        <w:r w:rsidR="005632D0">
          <w:rPr>
            <w:noProof/>
            <w:webHidden/>
          </w:rPr>
          <w:t>25</w:t>
        </w:r>
        <w:r w:rsidR="005632D0">
          <w:rPr>
            <w:noProof/>
            <w:webHidden/>
          </w:rPr>
          <w:fldChar w:fldCharType="end"/>
        </w:r>
      </w:hyperlink>
    </w:p>
    <w:p w:rsidR="005632D0" w:rsidRDefault="00510665" w14:paraId="5E4CA3AE" w14:textId="1E18BEC8">
      <w:pPr>
        <w:pStyle w:val="TOC2"/>
        <w:rPr>
          <w:rFonts w:asciiTheme="minorHAnsi" w:hAnsiTheme="minorHAnsi" w:eastAsiaTheme="minorEastAsia" w:cstheme="minorBidi"/>
          <w:noProof/>
          <w:sz w:val="22"/>
          <w:szCs w:val="22"/>
        </w:rPr>
      </w:pPr>
      <w:hyperlink w:history="1" w:anchor="_Toc119238942">
        <w:r w:rsidRPr="003B7A92" w:rsidR="005632D0">
          <w:rPr>
            <w:rStyle w:val="Hyperlink"/>
            <w:noProof/>
          </w:rPr>
          <w:t>11.2</w:t>
        </w:r>
        <w:r w:rsidR="005632D0">
          <w:rPr>
            <w:rFonts w:asciiTheme="minorHAnsi" w:hAnsiTheme="minorHAnsi" w:eastAsiaTheme="minorEastAsia" w:cstheme="minorBidi"/>
            <w:noProof/>
            <w:sz w:val="22"/>
            <w:szCs w:val="22"/>
          </w:rPr>
          <w:tab/>
        </w:r>
        <w:r w:rsidRPr="003B7A92" w:rsidR="005632D0">
          <w:rPr>
            <w:rStyle w:val="Hyperlink"/>
            <w:noProof/>
          </w:rPr>
          <w:t>Replenishment</w:t>
        </w:r>
        <w:r w:rsidR="005632D0">
          <w:rPr>
            <w:noProof/>
            <w:webHidden/>
          </w:rPr>
          <w:tab/>
        </w:r>
        <w:r w:rsidR="005632D0">
          <w:rPr>
            <w:noProof/>
            <w:webHidden/>
          </w:rPr>
          <w:fldChar w:fldCharType="begin"/>
        </w:r>
        <w:r w:rsidR="005632D0">
          <w:rPr>
            <w:noProof/>
            <w:webHidden/>
          </w:rPr>
          <w:instrText xml:space="preserve"> PAGEREF _Toc119238942 \h </w:instrText>
        </w:r>
        <w:r w:rsidR="005632D0">
          <w:rPr>
            <w:noProof/>
            <w:webHidden/>
          </w:rPr>
        </w:r>
        <w:r w:rsidR="005632D0">
          <w:rPr>
            <w:noProof/>
            <w:webHidden/>
          </w:rPr>
          <w:fldChar w:fldCharType="separate"/>
        </w:r>
        <w:r w:rsidR="005632D0">
          <w:rPr>
            <w:noProof/>
            <w:webHidden/>
          </w:rPr>
          <w:t>26</w:t>
        </w:r>
        <w:r w:rsidR="005632D0">
          <w:rPr>
            <w:noProof/>
            <w:webHidden/>
          </w:rPr>
          <w:fldChar w:fldCharType="end"/>
        </w:r>
      </w:hyperlink>
    </w:p>
    <w:p w:rsidR="005632D0" w:rsidRDefault="00510665" w14:paraId="3D3027F2" w14:textId="67700DBF">
      <w:pPr>
        <w:pStyle w:val="TOC2"/>
        <w:rPr>
          <w:rFonts w:asciiTheme="minorHAnsi" w:hAnsiTheme="minorHAnsi" w:eastAsiaTheme="minorEastAsia" w:cstheme="minorBidi"/>
          <w:noProof/>
          <w:sz w:val="22"/>
          <w:szCs w:val="22"/>
        </w:rPr>
      </w:pPr>
      <w:hyperlink w:history="1" w:anchor="_Toc119238943">
        <w:r w:rsidRPr="003B7A92" w:rsidR="005632D0">
          <w:rPr>
            <w:rStyle w:val="Hyperlink"/>
            <w:noProof/>
          </w:rPr>
          <w:t>11.3</w:t>
        </w:r>
        <w:r w:rsidR="005632D0">
          <w:rPr>
            <w:rFonts w:asciiTheme="minorHAnsi" w:hAnsiTheme="minorHAnsi" w:eastAsiaTheme="minorEastAsia" w:cstheme="minorBidi"/>
            <w:noProof/>
            <w:sz w:val="22"/>
            <w:szCs w:val="22"/>
          </w:rPr>
          <w:tab/>
        </w:r>
        <w:r w:rsidRPr="003B7A92" w:rsidR="005632D0">
          <w:rPr>
            <w:rStyle w:val="Hyperlink"/>
            <w:noProof/>
          </w:rPr>
          <w:t>Form</w:t>
        </w:r>
        <w:r w:rsidR="005632D0">
          <w:rPr>
            <w:noProof/>
            <w:webHidden/>
          </w:rPr>
          <w:tab/>
        </w:r>
        <w:r w:rsidR="005632D0">
          <w:rPr>
            <w:noProof/>
            <w:webHidden/>
          </w:rPr>
          <w:fldChar w:fldCharType="begin"/>
        </w:r>
        <w:r w:rsidR="005632D0">
          <w:rPr>
            <w:noProof/>
            <w:webHidden/>
          </w:rPr>
          <w:instrText xml:space="preserve"> PAGEREF _Toc119238943 \h </w:instrText>
        </w:r>
        <w:r w:rsidR="005632D0">
          <w:rPr>
            <w:noProof/>
            <w:webHidden/>
          </w:rPr>
        </w:r>
        <w:r w:rsidR="005632D0">
          <w:rPr>
            <w:noProof/>
            <w:webHidden/>
          </w:rPr>
          <w:fldChar w:fldCharType="separate"/>
        </w:r>
        <w:r w:rsidR="005632D0">
          <w:rPr>
            <w:noProof/>
            <w:webHidden/>
          </w:rPr>
          <w:t>26</w:t>
        </w:r>
        <w:r w:rsidR="005632D0">
          <w:rPr>
            <w:noProof/>
            <w:webHidden/>
          </w:rPr>
          <w:fldChar w:fldCharType="end"/>
        </w:r>
      </w:hyperlink>
    </w:p>
    <w:p w:rsidR="005632D0" w:rsidRDefault="00510665" w14:paraId="7B7951AB" w14:textId="6B1FED12">
      <w:pPr>
        <w:pStyle w:val="TOC2"/>
        <w:rPr>
          <w:rFonts w:asciiTheme="minorHAnsi" w:hAnsiTheme="minorHAnsi" w:eastAsiaTheme="minorEastAsia" w:cstheme="minorBidi"/>
          <w:noProof/>
          <w:sz w:val="22"/>
          <w:szCs w:val="22"/>
        </w:rPr>
      </w:pPr>
      <w:hyperlink w:history="1" w:anchor="_Toc119238944">
        <w:r w:rsidRPr="003B7A92" w:rsidR="005632D0">
          <w:rPr>
            <w:rStyle w:val="Hyperlink"/>
            <w:noProof/>
          </w:rPr>
          <w:t>11.4</w:t>
        </w:r>
        <w:r w:rsidR="005632D0">
          <w:rPr>
            <w:rFonts w:asciiTheme="minorHAnsi" w:hAnsiTheme="minorHAnsi" w:eastAsiaTheme="minorEastAsia" w:cstheme="minorBidi"/>
            <w:noProof/>
            <w:sz w:val="22"/>
            <w:szCs w:val="22"/>
          </w:rPr>
          <w:tab/>
        </w:r>
        <w:r w:rsidRPr="003B7A92" w:rsidR="005632D0">
          <w:rPr>
            <w:rStyle w:val="Hyperlink"/>
            <w:noProof/>
          </w:rPr>
          <w:t>Replacement</w:t>
        </w:r>
        <w:r w:rsidR="005632D0">
          <w:rPr>
            <w:noProof/>
            <w:webHidden/>
          </w:rPr>
          <w:tab/>
        </w:r>
        <w:r w:rsidR="005632D0">
          <w:rPr>
            <w:noProof/>
            <w:webHidden/>
          </w:rPr>
          <w:fldChar w:fldCharType="begin"/>
        </w:r>
        <w:r w:rsidR="005632D0">
          <w:rPr>
            <w:noProof/>
            <w:webHidden/>
          </w:rPr>
          <w:instrText xml:space="preserve"> PAGEREF _Toc119238944 \h </w:instrText>
        </w:r>
        <w:r w:rsidR="005632D0">
          <w:rPr>
            <w:noProof/>
            <w:webHidden/>
          </w:rPr>
        </w:r>
        <w:r w:rsidR="005632D0">
          <w:rPr>
            <w:noProof/>
            <w:webHidden/>
          </w:rPr>
          <w:fldChar w:fldCharType="separate"/>
        </w:r>
        <w:r w:rsidR="005632D0">
          <w:rPr>
            <w:noProof/>
            <w:webHidden/>
          </w:rPr>
          <w:t>27</w:t>
        </w:r>
        <w:r w:rsidR="005632D0">
          <w:rPr>
            <w:noProof/>
            <w:webHidden/>
          </w:rPr>
          <w:fldChar w:fldCharType="end"/>
        </w:r>
      </w:hyperlink>
    </w:p>
    <w:p w:rsidR="005632D0" w:rsidRDefault="00510665" w14:paraId="783EF664" w14:textId="216C9E60">
      <w:pPr>
        <w:pStyle w:val="TOC2"/>
        <w:rPr>
          <w:rFonts w:asciiTheme="minorHAnsi" w:hAnsiTheme="minorHAnsi" w:eastAsiaTheme="minorEastAsia" w:cstheme="minorBidi"/>
          <w:noProof/>
          <w:sz w:val="22"/>
          <w:szCs w:val="22"/>
        </w:rPr>
      </w:pPr>
      <w:hyperlink w:history="1" w:anchor="_Toc119238945">
        <w:r w:rsidRPr="003B7A92" w:rsidR="005632D0">
          <w:rPr>
            <w:rStyle w:val="Hyperlink"/>
            <w:noProof/>
          </w:rPr>
          <w:t>11.5</w:t>
        </w:r>
        <w:r w:rsidR="005632D0">
          <w:rPr>
            <w:rFonts w:asciiTheme="minorHAnsi" w:hAnsiTheme="minorHAnsi" w:eastAsiaTheme="minorEastAsia" w:cstheme="minorBidi"/>
            <w:noProof/>
            <w:sz w:val="22"/>
            <w:szCs w:val="22"/>
          </w:rPr>
          <w:tab/>
        </w:r>
        <w:r w:rsidRPr="003B7A92" w:rsidR="005632D0">
          <w:rPr>
            <w:rStyle w:val="Hyperlink"/>
            <w:noProof/>
          </w:rPr>
          <w:t>Survival</w:t>
        </w:r>
        <w:r w:rsidR="005632D0">
          <w:rPr>
            <w:noProof/>
            <w:webHidden/>
          </w:rPr>
          <w:tab/>
        </w:r>
        <w:r w:rsidR="005632D0">
          <w:rPr>
            <w:noProof/>
            <w:webHidden/>
          </w:rPr>
          <w:fldChar w:fldCharType="begin"/>
        </w:r>
        <w:r w:rsidR="005632D0">
          <w:rPr>
            <w:noProof/>
            <w:webHidden/>
          </w:rPr>
          <w:instrText xml:space="preserve"> PAGEREF _Toc119238945 \h </w:instrText>
        </w:r>
        <w:r w:rsidR="005632D0">
          <w:rPr>
            <w:noProof/>
            <w:webHidden/>
          </w:rPr>
        </w:r>
        <w:r w:rsidR="005632D0">
          <w:rPr>
            <w:noProof/>
            <w:webHidden/>
          </w:rPr>
          <w:fldChar w:fldCharType="separate"/>
        </w:r>
        <w:r w:rsidR="005632D0">
          <w:rPr>
            <w:noProof/>
            <w:webHidden/>
          </w:rPr>
          <w:t>27</w:t>
        </w:r>
        <w:r w:rsidR="005632D0">
          <w:rPr>
            <w:noProof/>
            <w:webHidden/>
          </w:rPr>
          <w:fldChar w:fldCharType="end"/>
        </w:r>
      </w:hyperlink>
    </w:p>
    <w:p w:rsidR="005632D0" w:rsidRDefault="00510665" w14:paraId="227F627A" w14:textId="676E6BE2">
      <w:pPr>
        <w:pStyle w:val="TOC2"/>
        <w:rPr>
          <w:rFonts w:asciiTheme="minorHAnsi" w:hAnsiTheme="minorHAnsi" w:eastAsiaTheme="minorEastAsia" w:cstheme="minorBidi"/>
          <w:noProof/>
          <w:sz w:val="22"/>
          <w:szCs w:val="22"/>
        </w:rPr>
      </w:pPr>
      <w:hyperlink w:history="1" w:anchor="_Toc119238946">
        <w:r w:rsidRPr="003B7A92" w:rsidR="005632D0">
          <w:rPr>
            <w:rStyle w:val="Hyperlink"/>
            <w:noProof/>
          </w:rPr>
          <w:t>11.6</w:t>
        </w:r>
        <w:r w:rsidR="005632D0">
          <w:rPr>
            <w:rFonts w:asciiTheme="minorHAnsi" w:hAnsiTheme="minorHAnsi" w:eastAsiaTheme="minorEastAsia" w:cstheme="minorBidi"/>
            <w:noProof/>
            <w:sz w:val="22"/>
            <w:szCs w:val="22"/>
          </w:rPr>
          <w:tab/>
        </w:r>
        <w:r w:rsidRPr="003B7A92" w:rsidR="005632D0">
          <w:rPr>
            <w:rStyle w:val="Hyperlink"/>
            <w:noProof/>
          </w:rPr>
          <w:t>Expenses</w:t>
        </w:r>
        <w:r w:rsidR="005632D0">
          <w:rPr>
            <w:noProof/>
            <w:webHidden/>
          </w:rPr>
          <w:tab/>
        </w:r>
        <w:r w:rsidR="005632D0">
          <w:rPr>
            <w:noProof/>
            <w:webHidden/>
          </w:rPr>
          <w:fldChar w:fldCharType="begin"/>
        </w:r>
        <w:r w:rsidR="005632D0">
          <w:rPr>
            <w:noProof/>
            <w:webHidden/>
          </w:rPr>
          <w:instrText xml:space="preserve"> PAGEREF _Toc119238946 \h </w:instrText>
        </w:r>
        <w:r w:rsidR="005632D0">
          <w:rPr>
            <w:noProof/>
            <w:webHidden/>
          </w:rPr>
        </w:r>
        <w:r w:rsidR="005632D0">
          <w:rPr>
            <w:noProof/>
            <w:webHidden/>
          </w:rPr>
          <w:fldChar w:fldCharType="separate"/>
        </w:r>
        <w:r w:rsidR="005632D0">
          <w:rPr>
            <w:noProof/>
            <w:webHidden/>
          </w:rPr>
          <w:t>28</w:t>
        </w:r>
        <w:r w:rsidR="005632D0">
          <w:rPr>
            <w:noProof/>
            <w:webHidden/>
          </w:rPr>
          <w:fldChar w:fldCharType="end"/>
        </w:r>
      </w:hyperlink>
    </w:p>
    <w:p w:rsidR="005632D0" w:rsidRDefault="00510665" w14:paraId="0BF19773" w14:textId="1BB8D372">
      <w:pPr>
        <w:pStyle w:val="TOC1"/>
        <w:rPr>
          <w:rFonts w:asciiTheme="minorHAnsi" w:hAnsiTheme="minorHAnsi" w:eastAsiaTheme="minorEastAsia" w:cstheme="minorBidi"/>
          <w:b w:val="0"/>
          <w:noProof/>
          <w:sz w:val="22"/>
          <w:szCs w:val="22"/>
        </w:rPr>
      </w:pPr>
      <w:hyperlink w:history="1" w:anchor="_Toc119238947">
        <w:r w:rsidRPr="003B7A92" w:rsidR="005632D0">
          <w:rPr>
            <w:rStyle w:val="Hyperlink"/>
            <w:noProof/>
          </w:rPr>
          <w:t>Article 12 – Default and Remedies</w:t>
        </w:r>
        <w:r w:rsidR="005632D0">
          <w:rPr>
            <w:noProof/>
            <w:webHidden/>
          </w:rPr>
          <w:tab/>
        </w:r>
        <w:r w:rsidR="005632D0">
          <w:rPr>
            <w:noProof/>
            <w:webHidden/>
          </w:rPr>
          <w:fldChar w:fldCharType="begin"/>
        </w:r>
        <w:r w:rsidR="005632D0">
          <w:rPr>
            <w:noProof/>
            <w:webHidden/>
          </w:rPr>
          <w:instrText xml:space="preserve"> PAGEREF _Toc119238947 \h </w:instrText>
        </w:r>
        <w:r w:rsidR="005632D0">
          <w:rPr>
            <w:noProof/>
            <w:webHidden/>
          </w:rPr>
        </w:r>
        <w:r w:rsidR="005632D0">
          <w:rPr>
            <w:noProof/>
            <w:webHidden/>
          </w:rPr>
          <w:fldChar w:fldCharType="separate"/>
        </w:r>
        <w:r w:rsidR="005632D0">
          <w:rPr>
            <w:noProof/>
            <w:webHidden/>
          </w:rPr>
          <w:t>28</w:t>
        </w:r>
        <w:r w:rsidR="005632D0">
          <w:rPr>
            <w:noProof/>
            <w:webHidden/>
          </w:rPr>
          <w:fldChar w:fldCharType="end"/>
        </w:r>
      </w:hyperlink>
    </w:p>
    <w:p w:rsidR="005632D0" w:rsidRDefault="00510665" w14:paraId="4E4BC1EF" w14:textId="7806C50E">
      <w:pPr>
        <w:pStyle w:val="TOC2"/>
        <w:rPr>
          <w:rFonts w:asciiTheme="minorHAnsi" w:hAnsiTheme="minorHAnsi" w:eastAsiaTheme="minorEastAsia" w:cstheme="minorBidi"/>
          <w:noProof/>
          <w:sz w:val="22"/>
          <w:szCs w:val="22"/>
        </w:rPr>
      </w:pPr>
      <w:hyperlink w:history="1" w:anchor="_Toc119238948">
        <w:r w:rsidRPr="003B7A92" w:rsidR="005632D0">
          <w:rPr>
            <w:rStyle w:val="Hyperlink"/>
            <w:noProof/>
          </w:rPr>
          <w:t>12.1</w:t>
        </w:r>
        <w:r w:rsidR="005632D0">
          <w:rPr>
            <w:rFonts w:asciiTheme="minorHAnsi" w:hAnsiTheme="minorHAnsi" w:eastAsiaTheme="minorEastAsia" w:cstheme="minorBidi"/>
            <w:noProof/>
            <w:sz w:val="22"/>
            <w:szCs w:val="22"/>
          </w:rPr>
          <w:tab/>
        </w:r>
        <w:r w:rsidRPr="003B7A92" w:rsidR="005632D0">
          <w:rPr>
            <w:rStyle w:val="Hyperlink"/>
            <w:noProof/>
          </w:rPr>
          <w:t>Default by Seller: General</w:t>
        </w:r>
        <w:r w:rsidR="005632D0">
          <w:rPr>
            <w:noProof/>
            <w:webHidden/>
          </w:rPr>
          <w:tab/>
        </w:r>
        <w:r w:rsidR="005632D0">
          <w:rPr>
            <w:noProof/>
            <w:webHidden/>
          </w:rPr>
          <w:fldChar w:fldCharType="begin"/>
        </w:r>
        <w:r w:rsidR="005632D0">
          <w:rPr>
            <w:noProof/>
            <w:webHidden/>
          </w:rPr>
          <w:instrText xml:space="preserve"> PAGEREF _Toc119238948 \h </w:instrText>
        </w:r>
        <w:r w:rsidR="005632D0">
          <w:rPr>
            <w:noProof/>
            <w:webHidden/>
          </w:rPr>
        </w:r>
        <w:r w:rsidR="005632D0">
          <w:rPr>
            <w:noProof/>
            <w:webHidden/>
          </w:rPr>
          <w:fldChar w:fldCharType="separate"/>
        </w:r>
        <w:r w:rsidR="005632D0">
          <w:rPr>
            <w:noProof/>
            <w:webHidden/>
          </w:rPr>
          <w:t>28</w:t>
        </w:r>
        <w:r w:rsidR="005632D0">
          <w:rPr>
            <w:noProof/>
            <w:webHidden/>
          </w:rPr>
          <w:fldChar w:fldCharType="end"/>
        </w:r>
      </w:hyperlink>
    </w:p>
    <w:p w:rsidR="005632D0" w:rsidRDefault="00510665" w14:paraId="4B5BDFA4" w14:textId="55DC09EC">
      <w:pPr>
        <w:pStyle w:val="TOC2"/>
        <w:rPr>
          <w:rFonts w:asciiTheme="minorHAnsi" w:hAnsiTheme="minorHAnsi" w:eastAsiaTheme="minorEastAsia" w:cstheme="minorBidi"/>
          <w:noProof/>
          <w:sz w:val="22"/>
          <w:szCs w:val="22"/>
        </w:rPr>
      </w:pPr>
      <w:hyperlink w:history="1" w:anchor="_Toc119238949">
        <w:r w:rsidRPr="003B7A92" w:rsidR="005632D0">
          <w:rPr>
            <w:rStyle w:val="Hyperlink"/>
            <w:noProof/>
          </w:rPr>
          <w:t>12.2</w:t>
        </w:r>
        <w:r w:rsidR="005632D0">
          <w:rPr>
            <w:rFonts w:asciiTheme="minorHAnsi" w:hAnsiTheme="minorHAnsi" w:eastAsiaTheme="minorEastAsia" w:cstheme="minorBidi"/>
            <w:noProof/>
            <w:sz w:val="22"/>
            <w:szCs w:val="22"/>
          </w:rPr>
          <w:tab/>
        </w:r>
        <w:r w:rsidRPr="003B7A92" w:rsidR="005632D0">
          <w:rPr>
            <w:rStyle w:val="Hyperlink"/>
            <w:noProof/>
          </w:rPr>
          <w:t>Default by Seller: Failure to Achieve COD</w:t>
        </w:r>
        <w:r w:rsidR="005632D0">
          <w:rPr>
            <w:noProof/>
            <w:webHidden/>
          </w:rPr>
          <w:tab/>
        </w:r>
        <w:r w:rsidR="005632D0">
          <w:rPr>
            <w:noProof/>
            <w:webHidden/>
          </w:rPr>
          <w:fldChar w:fldCharType="begin"/>
        </w:r>
        <w:r w:rsidR="005632D0">
          <w:rPr>
            <w:noProof/>
            <w:webHidden/>
          </w:rPr>
          <w:instrText xml:space="preserve"> PAGEREF _Toc119238949 \h </w:instrText>
        </w:r>
        <w:r w:rsidR="005632D0">
          <w:rPr>
            <w:noProof/>
            <w:webHidden/>
          </w:rPr>
        </w:r>
        <w:r w:rsidR="005632D0">
          <w:rPr>
            <w:noProof/>
            <w:webHidden/>
          </w:rPr>
          <w:fldChar w:fldCharType="separate"/>
        </w:r>
        <w:r w:rsidR="005632D0">
          <w:rPr>
            <w:noProof/>
            <w:webHidden/>
          </w:rPr>
          <w:t>31</w:t>
        </w:r>
        <w:r w:rsidR="005632D0">
          <w:rPr>
            <w:noProof/>
            <w:webHidden/>
          </w:rPr>
          <w:fldChar w:fldCharType="end"/>
        </w:r>
      </w:hyperlink>
    </w:p>
    <w:p w:rsidR="005632D0" w:rsidRDefault="00510665" w14:paraId="1E9F6D0C" w14:textId="654E58F7">
      <w:pPr>
        <w:pStyle w:val="TOC2"/>
        <w:rPr>
          <w:rFonts w:asciiTheme="minorHAnsi" w:hAnsiTheme="minorHAnsi" w:eastAsiaTheme="minorEastAsia" w:cstheme="minorBidi"/>
          <w:noProof/>
          <w:sz w:val="22"/>
          <w:szCs w:val="22"/>
        </w:rPr>
      </w:pPr>
      <w:hyperlink w:history="1" w:anchor="_Toc119238950">
        <w:r w:rsidRPr="003B7A92" w:rsidR="005632D0">
          <w:rPr>
            <w:rStyle w:val="Hyperlink"/>
            <w:noProof/>
          </w:rPr>
          <w:t>12.3</w:t>
        </w:r>
        <w:r w:rsidR="005632D0">
          <w:rPr>
            <w:rFonts w:asciiTheme="minorHAnsi" w:hAnsiTheme="minorHAnsi" w:eastAsiaTheme="minorEastAsia" w:cstheme="minorBidi"/>
            <w:noProof/>
            <w:sz w:val="22"/>
            <w:szCs w:val="22"/>
          </w:rPr>
          <w:tab/>
        </w:r>
        <w:r w:rsidRPr="003B7A92" w:rsidR="005632D0">
          <w:rPr>
            <w:rStyle w:val="Hyperlink"/>
            <w:noProof/>
          </w:rPr>
          <w:t>Default by Company</w:t>
        </w:r>
        <w:r w:rsidR="005632D0">
          <w:rPr>
            <w:noProof/>
            <w:webHidden/>
          </w:rPr>
          <w:tab/>
        </w:r>
        <w:r w:rsidR="005632D0">
          <w:rPr>
            <w:noProof/>
            <w:webHidden/>
          </w:rPr>
          <w:fldChar w:fldCharType="begin"/>
        </w:r>
        <w:r w:rsidR="005632D0">
          <w:rPr>
            <w:noProof/>
            <w:webHidden/>
          </w:rPr>
          <w:instrText xml:space="preserve"> PAGEREF _Toc119238950 \h </w:instrText>
        </w:r>
        <w:r w:rsidR="005632D0">
          <w:rPr>
            <w:noProof/>
            <w:webHidden/>
          </w:rPr>
        </w:r>
        <w:r w:rsidR="005632D0">
          <w:rPr>
            <w:noProof/>
            <w:webHidden/>
          </w:rPr>
          <w:fldChar w:fldCharType="separate"/>
        </w:r>
        <w:r w:rsidR="005632D0">
          <w:rPr>
            <w:noProof/>
            <w:webHidden/>
          </w:rPr>
          <w:t>32</w:t>
        </w:r>
        <w:r w:rsidR="005632D0">
          <w:rPr>
            <w:noProof/>
            <w:webHidden/>
          </w:rPr>
          <w:fldChar w:fldCharType="end"/>
        </w:r>
      </w:hyperlink>
    </w:p>
    <w:p w:rsidR="005632D0" w:rsidRDefault="00510665" w14:paraId="6527305C" w14:textId="7398BBF1">
      <w:pPr>
        <w:pStyle w:val="TOC2"/>
        <w:rPr>
          <w:rFonts w:asciiTheme="minorHAnsi" w:hAnsiTheme="minorHAnsi" w:eastAsiaTheme="minorEastAsia" w:cstheme="minorBidi"/>
          <w:noProof/>
          <w:sz w:val="22"/>
          <w:szCs w:val="22"/>
        </w:rPr>
      </w:pPr>
      <w:hyperlink w:history="1" w:anchor="_Toc119238951">
        <w:r w:rsidRPr="003B7A92" w:rsidR="005632D0">
          <w:rPr>
            <w:rStyle w:val="Hyperlink"/>
            <w:noProof/>
          </w:rPr>
          <w:t>12.4</w:t>
        </w:r>
        <w:r w:rsidR="005632D0">
          <w:rPr>
            <w:rFonts w:asciiTheme="minorHAnsi" w:hAnsiTheme="minorHAnsi" w:eastAsiaTheme="minorEastAsia" w:cstheme="minorBidi"/>
            <w:noProof/>
            <w:sz w:val="22"/>
            <w:szCs w:val="22"/>
          </w:rPr>
          <w:tab/>
        </w:r>
        <w:r w:rsidRPr="003B7A92" w:rsidR="005632D0">
          <w:rPr>
            <w:rStyle w:val="Hyperlink"/>
            <w:noProof/>
          </w:rPr>
          <w:t>Limitations on Damages</w:t>
        </w:r>
        <w:r w:rsidR="005632D0">
          <w:rPr>
            <w:noProof/>
            <w:webHidden/>
          </w:rPr>
          <w:tab/>
        </w:r>
        <w:r w:rsidR="005632D0">
          <w:rPr>
            <w:noProof/>
            <w:webHidden/>
          </w:rPr>
          <w:fldChar w:fldCharType="begin"/>
        </w:r>
        <w:r w:rsidR="005632D0">
          <w:rPr>
            <w:noProof/>
            <w:webHidden/>
          </w:rPr>
          <w:instrText xml:space="preserve"> PAGEREF _Toc119238951 \h </w:instrText>
        </w:r>
        <w:r w:rsidR="005632D0">
          <w:rPr>
            <w:noProof/>
            <w:webHidden/>
          </w:rPr>
        </w:r>
        <w:r w:rsidR="005632D0">
          <w:rPr>
            <w:noProof/>
            <w:webHidden/>
          </w:rPr>
          <w:fldChar w:fldCharType="separate"/>
        </w:r>
        <w:r w:rsidR="005632D0">
          <w:rPr>
            <w:noProof/>
            <w:webHidden/>
          </w:rPr>
          <w:t>33</w:t>
        </w:r>
        <w:r w:rsidR="005632D0">
          <w:rPr>
            <w:noProof/>
            <w:webHidden/>
          </w:rPr>
          <w:fldChar w:fldCharType="end"/>
        </w:r>
      </w:hyperlink>
    </w:p>
    <w:p w:rsidR="005632D0" w:rsidRDefault="00510665" w14:paraId="2B7732CF" w14:textId="7903958E">
      <w:pPr>
        <w:pStyle w:val="TOC2"/>
        <w:rPr>
          <w:rFonts w:asciiTheme="minorHAnsi" w:hAnsiTheme="minorHAnsi" w:eastAsiaTheme="minorEastAsia" w:cstheme="minorBidi"/>
          <w:noProof/>
          <w:sz w:val="22"/>
          <w:szCs w:val="22"/>
        </w:rPr>
      </w:pPr>
      <w:hyperlink w:history="1" w:anchor="_Toc119238952">
        <w:r w:rsidRPr="003B7A92" w:rsidR="005632D0">
          <w:rPr>
            <w:rStyle w:val="Hyperlink"/>
            <w:noProof/>
          </w:rPr>
          <w:t>12.5</w:t>
        </w:r>
        <w:r w:rsidR="005632D0">
          <w:rPr>
            <w:rFonts w:asciiTheme="minorHAnsi" w:hAnsiTheme="minorHAnsi" w:eastAsiaTheme="minorEastAsia" w:cstheme="minorBidi"/>
            <w:noProof/>
            <w:sz w:val="22"/>
            <w:szCs w:val="22"/>
          </w:rPr>
          <w:tab/>
        </w:r>
        <w:r w:rsidRPr="003B7A92" w:rsidR="005632D0">
          <w:rPr>
            <w:rStyle w:val="Hyperlink"/>
            <w:noProof/>
          </w:rPr>
          <w:t>Bankruptcy</w:t>
        </w:r>
        <w:r w:rsidR="005632D0">
          <w:rPr>
            <w:noProof/>
            <w:webHidden/>
          </w:rPr>
          <w:tab/>
        </w:r>
        <w:r w:rsidR="005632D0">
          <w:rPr>
            <w:noProof/>
            <w:webHidden/>
          </w:rPr>
          <w:fldChar w:fldCharType="begin"/>
        </w:r>
        <w:r w:rsidR="005632D0">
          <w:rPr>
            <w:noProof/>
            <w:webHidden/>
          </w:rPr>
          <w:instrText xml:space="preserve"> PAGEREF _Toc119238952 \h </w:instrText>
        </w:r>
        <w:r w:rsidR="005632D0">
          <w:rPr>
            <w:noProof/>
            <w:webHidden/>
          </w:rPr>
        </w:r>
        <w:r w:rsidR="005632D0">
          <w:rPr>
            <w:noProof/>
            <w:webHidden/>
          </w:rPr>
          <w:fldChar w:fldCharType="separate"/>
        </w:r>
        <w:r w:rsidR="005632D0">
          <w:rPr>
            <w:noProof/>
            <w:webHidden/>
          </w:rPr>
          <w:t>34</w:t>
        </w:r>
        <w:r w:rsidR="005632D0">
          <w:rPr>
            <w:noProof/>
            <w:webHidden/>
          </w:rPr>
          <w:fldChar w:fldCharType="end"/>
        </w:r>
      </w:hyperlink>
    </w:p>
    <w:p w:rsidR="005632D0" w:rsidRDefault="00510665" w14:paraId="16E4EC91" w14:textId="15C4DB82">
      <w:pPr>
        <w:pStyle w:val="TOC2"/>
        <w:rPr>
          <w:rFonts w:asciiTheme="minorHAnsi" w:hAnsiTheme="minorHAnsi" w:eastAsiaTheme="minorEastAsia" w:cstheme="minorBidi"/>
          <w:noProof/>
          <w:sz w:val="22"/>
          <w:szCs w:val="22"/>
        </w:rPr>
      </w:pPr>
      <w:hyperlink w:history="1" w:anchor="_Toc119238953">
        <w:r w:rsidRPr="003B7A92" w:rsidR="005632D0">
          <w:rPr>
            <w:rStyle w:val="Hyperlink"/>
            <w:noProof/>
          </w:rPr>
          <w:t>12.6</w:t>
        </w:r>
        <w:r w:rsidR="005632D0">
          <w:rPr>
            <w:rFonts w:asciiTheme="minorHAnsi" w:hAnsiTheme="minorHAnsi" w:eastAsiaTheme="minorEastAsia" w:cstheme="minorBidi"/>
            <w:noProof/>
            <w:sz w:val="22"/>
            <w:szCs w:val="22"/>
          </w:rPr>
          <w:tab/>
        </w:r>
        <w:r w:rsidRPr="003B7A92" w:rsidR="005632D0">
          <w:rPr>
            <w:rStyle w:val="Hyperlink"/>
            <w:noProof/>
          </w:rPr>
          <w:t>Cumulative Remedies</w:t>
        </w:r>
        <w:r w:rsidR="005632D0">
          <w:rPr>
            <w:noProof/>
            <w:webHidden/>
          </w:rPr>
          <w:tab/>
        </w:r>
        <w:r w:rsidR="005632D0">
          <w:rPr>
            <w:noProof/>
            <w:webHidden/>
          </w:rPr>
          <w:fldChar w:fldCharType="begin"/>
        </w:r>
        <w:r w:rsidR="005632D0">
          <w:rPr>
            <w:noProof/>
            <w:webHidden/>
          </w:rPr>
          <w:instrText xml:space="preserve"> PAGEREF _Toc119238953 \h </w:instrText>
        </w:r>
        <w:r w:rsidR="005632D0">
          <w:rPr>
            <w:noProof/>
            <w:webHidden/>
          </w:rPr>
        </w:r>
        <w:r w:rsidR="005632D0">
          <w:rPr>
            <w:noProof/>
            <w:webHidden/>
          </w:rPr>
          <w:fldChar w:fldCharType="separate"/>
        </w:r>
        <w:r w:rsidR="005632D0">
          <w:rPr>
            <w:noProof/>
            <w:webHidden/>
          </w:rPr>
          <w:t>34</w:t>
        </w:r>
        <w:r w:rsidR="005632D0">
          <w:rPr>
            <w:noProof/>
            <w:webHidden/>
          </w:rPr>
          <w:fldChar w:fldCharType="end"/>
        </w:r>
      </w:hyperlink>
    </w:p>
    <w:p w:rsidR="005632D0" w:rsidRDefault="00510665" w14:paraId="67544772" w14:textId="2F8351DD">
      <w:pPr>
        <w:pStyle w:val="TOC2"/>
        <w:rPr>
          <w:rFonts w:asciiTheme="minorHAnsi" w:hAnsiTheme="minorHAnsi" w:eastAsiaTheme="minorEastAsia" w:cstheme="minorBidi"/>
          <w:noProof/>
          <w:sz w:val="22"/>
          <w:szCs w:val="22"/>
        </w:rPr>
      </w:pPr>
      <w:hyperlink w:history="1" w:anchor="_Toc119238954">
        <w:r w:rsidRPr="003B7A92" w:rsidR="005632D0">
          <w:rPr>
            <w:rStyle w:val="Hyperlink"/>
            <w:noProof/>
          </w:rPr>
          <w:t>12.7</w:t>
        </w:r>
        <w:r w:rsidR="005632D0">
          <w:rPr>
            <w:rFonts w:asciiTheme="minorHAnsi" w:hAnsiTheme="minorHAnsi" w:eastAsiaTheme="minorEastAsia" w:cstheme="minorBidi"/>
            <w:noProof/>
            <w:sz w:val="22"/>
            <w:szCs w:val="22"/>
          </w:rPr>
          <w:tab/>
        </w:r>
        <w:r w:rsidRPr="003B7A92" w:rsidR="005632D0">
          <w:rPr>
            <w:rStyle w:val="Hyperlink"/>
            <w:noProof/>
          </w:rPr>
          <w:t>Duty to Mitigate</w:t>
        </w:r>
        <w:r w:rsidR="005632D0">
          <w:rPr>
            <w:noProof/>
            <w:webHidden/>
          </w:rPr>
          <w:tab/>
        </w:r>
        <w:r w:rsidR="005632D0">
          <w:rPr>
            <w:noProof/>
            <w:webHidden/>
          </w:rPr>
          <w:fldChar w:fldCharType="begin"/>
        </w:r>
        <w:r w:rsidR="005632D0">
          <w:rPr>
            <w:noProof/>
            <w:webHidden/>
          </w:rPr>
          <w:instrText xml:space="preserve"> PAGEREF _Toc119238954 \h </w:instrText>
        </w:r>
        <w:r w:rsidR="005632D0">
          <w:rPr>
            <w:noProof/>
            <w:webHidden/>
          </w:rPr>
        </w:r>
        <w:r w:rsidR="005632D0">
          <w:rPr>
            <w:noProof/>
            <w:webHidden/>
          </w:rPr>
          <w:fldChar w:fldCharType="separate"/>
        </w:r>
        <w:r w:rsidR="005632D0">
          <w:rPr>
            <w:noProof/>
            <w:webHidden/>
          </w:rPr>
          <w:t>35</w:t>
        </w:r>
        <w:r w:rsidR="005632D0">
          <w:rPr>
            <w:noProof/>
            <w:webHidden/>
          </w:rPr>
          <w:fldChar w:fldCharType="end"/>
        </w:r>
      </w:hyperlink>
    </w:p>
    <w:p w:rsidR="005632D0" w:rsidRDefault="00510665" w14:paraId="2745D946" w14:textId="18D46FAC">
      <w:pPr>
        <w:pStyle w:val="TOC1"/>
        <w:rPr>
          <w:rFonts w:asciiTheme="minorHAnsi" w:hAnsiTheme="minorHAnsi" w:eastAsiaTheme="minorEastAsia" w:cstheme="minorBidi"/>
          <w:b w:val="0"/>
          <w:noProof/>
          <w:sz w:val="22"/>
          <w:szCs w:val="22"/>
        </w:rPr>
      </w:pPr>
      <w:hyperlink w:history="1" w:anchor="_Toc119238955">
        <w:r w:rsidRPr="003B7A92" w:rsidR="005632D0">
          <w:rPr>
            <w:rStyle w:val="Hyperlink"/>
            <w:noProof/>
          </w:rPr>
          <w:t>Article 13 – Dispute Resolution</w:t>
        </w:r>
        <w:r w:rsidR="005632D0">
          <w:rPr>
            <w:noProof/>
            <w:webHidden/>
          </w:rPr>
          <w:tab/>
        </w:r>
        <w:r w:rsidR="005632D0">
          <w:rPr>
            <w:noProof/>
            <w:webHidden/>
          </w:rPr>
          <w:fldChar w:fldCharType="begin"/>
        </w:r>
        <w:r w:rsidR="005632D0">
          <w:rPr>
            <w:noProof/>
            <w:webHidden/>
          </w:rPr>
          <w:instrText xml:space="preserve"> PAGEREF _Toc119238955 \h </w:instrText>
        </w:r>
        <w:r w:rsidR="005632D0">
          <w:rPr>
            <w:noProof/>
            <w:webHidden/>
          </w:rPr>
        </w:r>
        <w:r w:rsidR="005632D0">
          <w:rPr>
            <w:noProof/>
            <w:webHidden/>
          </w:rPr>
          <w:fldChar w:fldCharType="separate"/>
        </w:r>
        <w:r w:rsidR="005632D0">
          <w:rPr>
            <w:noProof/>
            <w:webHidden/>
          </w:rPr>
          <w:t>35</w:t>
        </w:r>
        <w:r w:rsidR="005632D0">
          <w:rPr>
            <w:noProof/>
            <w:webHidden/>
          </w:rPr>
          <w:fldChar w:fldCharType="end"/>
        </w:r>
      </w:hyperlink>
    </w:p>
    <w:p w:rsidR="005632D0" w:rsidRDefault="00510665" w14:paraId="3DAD2BBF" w14:textId="7FBE9D88">
      <w:pPr>
        <w:pStyle w:val="TOC2"/>
        <w:rPr>
          <w:rFonts w:asciiTheme="minorHAnsi" w:hAnsiTheme="minorHAnsi" w:eastAsiaTheme="minorEastAsia" w:cstheme="minorBidi"/>
          <w:noProof/>
          <w:sz w:val="22"/>
          <w:szCs w:val="22"/>
        </w:rPr>
      </w:pPr>
      <w:hyperlink w:history="1" w:anchor="_Toc119238956">
        <w:r w:rsidRPr="003B7A92" w:rsidR="005632D0">
          <w:rPr>
            <w:rStyle w:val="Hyperlink"/>
            <w:noProof/>
          </w:rPr>
          <w:t>13.1</w:t>
        </w:r>
        <w:r w:rsidR="005632D0">
          <w:rPr>
            <w:rFonts w:asciiTheme="minorHAnsi" w:hAnsiTheme="minorHAnsi" w:eastAsiaTheme="minorEastAsia" w:cstheme="minorBidi"/>
            <w:noProof/>
            <w:sz w:val="22"/>
            <w:szCs w:val="22"/>
          </w:rPr>
          <w:tab/>
        </w:r>
        <w:r w:rsidRPr="003B7A92" w:rsidR="005632D0">
          <w:rPr>
            <w:rStyle w:val="Hyperlink"/>
            <w:noProof/>
          </w:rPr>
          <w:t>Negotiation</w:t>
        </w:r>
        <w:r w:rsidR="005632D0">
          <w:rPr>
            <w:noProof/>
            <w:webHidden/>
          </w:rPr>
          <w:tab/>
        </w:r>
        <w:r w:rsidR="005632D0">
          <w:rPr>
            <w:noProof/>
            <w:webHidden/>
          </w:rPr>
          <w:fldChar w:fldCharType="begin"/>
        </w:r>
        <w:r w:rsidR="005632D0">
          <w:rPr>
            <w:noProof/>
            <w:webHidden/>
          </w:rPr>
          <w:instrText xml:space="preserve"> PAGEREF _Toc119238956 \h </w:instrText>
        </w:r>
        <w:r w:rsidR="005632D0">
          <w:rPr>
            <w:noProof/>
            <w:webHidden/>
          </w:rPr>
        </w:r>
        <w:r w:rsidR="005632D0">
          <w:rPr>
            <w:noProof/>
            <w:webHidden/>
          </w:rPr>
          <w:fldChar w:fldCharType="separate"/>
        </w:r>
        <w:r w:rsidR="005632D0">
          <w:rPr>
            <w:noProof/>
            <w:webHidden/>
          </w:rPr>
          <w:t>35</w:t>
        </w:r>
        <w:r w:rsidR="005632D0">
          <w:rPr>
            <w:noProof/>
            <w:webHidden/>
          </w:rPr>
          <w:fldChar w:fldCharType="end"/>
        </w:r>
      </w:hyperlink>
    </w:p>
    <w:p w:rsidR="005632D0" w:rsidRDefault="00510665" w14:paraId="377405A5" w14:textId="077B1934">
      <w:pPr>
        <w:pStyle w:val="TOC2"/>
        <w:rPr>
          <w:rFonts w:asciiTheme="minorHAnsi" w:hAnsiTheme="minorHAnsi" w:eastAsiaTheme="minorEastAsia" w:cstheme="minorBidi"/>
          <w:noProof/>
          <w:sz w:val="22"/>
          <w:szCs w:val="22"/>
        </w:rPr>
      </w:pPr>
      <w:hyperlink w:history="1" w:anchor="_Toc119238957">
        <w:r w:rsidRPr="003B7A92" w:rsidR="005632D0">
          <w:rPr>
            <w:rStyle w:val="Hyperlink"/>
            <w:noProof/>
          </w:rPr>
          <w:t>13.2</w:t>
        </w:r>
        <w:r w:rsidR="005632D0">
          <w:rPr>
            <w:rFonts w:asciiTheme="minorHAnsi" w:hAnsiTheme="minorHAnsi" w:eastAsiaTheme="minorEastAsia" w:cstheme="minorBidi"/>
            <w:noProof/>
            <w:sz w:val="22"/>
            <w:szCs w:val="22"/>
          </w:rPr>
          <w:tab/>
        </w:r>
        <w:r w:rsidRPr="003B7A92" w:rsidR="005632D0">
          <w:rPr>
            <w:rStyle w:val="Hyperlink"/>
            <w:noProof/>
          </w:rPr>
          <w:t>Time Bar</w:t>
        </w:r>
        <w:r w:rsidR="005632D0">
          <w:rPr>
            <w:noProof/>
            <w:webHidden/>
          </w:rPr>
          <w:tab/>
        </w:r>
        <w:r w:rsidR="005632D0">
          <w:rPr>
            <w:noProof/>
            <w:webHidden/>
          </w:rPr>
          <w:fldChar w:fldCharType="begin"/>
        </w:r>
        <w:r w:rsidR="005632D0">
          <w:rPr>
            <w:noProof/>
            <w:webHidden/>
          </w:rPr>
          <w:instrText xml:space="preserve"> PAGEREF _Toc119238957 \h </w:instrText>
        </w:r>
        <w:r w:rsidR="005632D0">
          <w:rPr>
            <w:noProof/>
            <w:webHidden/>
          </w:rPr>
        </w:r>
        <w:r w:rsidR="005632D0">
          <w:rPr>
            <w:noProof/>
            <w:webHidden/>
          </w:rPr>
          <w:fldChar w:fldCharType="separate"/>
        </w:r>
        <w:r w:rsidR="005632D0">
          <w:rPr>
            <w:noProof/>
            <w:webHidden/>
          </w:rPr>
          <w:t>35</w:t>
        </w:r>
        <w:r w:rsidR="005632D0">
          <w:rPr>
            <w:noProof/>
            <w:webHidden/>
          </w:rPr>
          <w:fldChar w:fldCharType="end"/>
        </w:r>
      </w:hyperlink>
    </w:p>
    <w:p w:rsidR="005632D0" w:rsidRDefault="00510665" w14:paraId="79095AD0" w14:textId="352C0A7E">
      <w:pPr>
        <w:pStyle w:val="TOC2"/>
        <w:rPr>
          <w:rFonts w:asciiTheme="minorHAnsi" w:hAnsiTheme="minorHAnsi" w:eastAsiaTheme="minorEastAsia" w:cstheme="minorBidi"/>
          <w:noProof/>
          <w:sz w:val="22"/>
          <w:szCs w:val="22"/>
        </w:rPr>
      </w:pPr>
      <w:hyperlink w:history="1" w:anchor="_Toc119238958">
        <w:r w:rsidRPr="003B7A92" w:rsidR="005632D0">
          <w:rPr>
            <w:rStyle w:val="Hyperlink"/>
            <w:noProof/>
          </w:rPr>
          <w:t>13.3</w:t>
        </w:r>
        <w:r w:rsidR="005632D0">
          <w:rPr>
            <w:rFonts w:asciiTheme="minorHAnsi" w:hAnsiTheme="minorHAnsi" w:eastAsiaTheme="minorEastAsia" w:cstheme="minorBidi"/>
            <w:noProof/>
            <w:sz w:val="22"/>
            <w:szCs w:val="22"/>
          </w:rPr>
          <w:tab/>
        </w:r>
        <w:r w:rsidRPr="003B7A92" w:rsidR="005632D0">
          <w:rPr>
            <w:rStyle w:val="Hyperlink"/>
            <w:noProof/>
          </w:rPr>
          <w:t>No Termination Pending Dispute Resolution</w:t>
        </w:r>
        <w:r w:rsidR="005632D0">
          <w:rPr>
            <w:noProof/>
            <w:webHidden/>
          </w:rPr>
          <w:tab/>
        </w:r>
        <w:r w:rsidR="005632D0">
          <w:rPr>
            <w:noProof/>
            <w:webHidden/>
          </w:rPr>
          <w:fldChar w:fldCharType="begin"/>
        </w:r>
        <w:r w:rsidR="005632D0">
          <w:rPr>
            <w:noProof/>
            <w:webHidden/>
          </w:rPr>
          <w:instrText xml:space="preserve"> PAGEREF _Toc119238958 \h </w:instrText>
        </w:r>
        <w:r w:rsidR="005632D0">
          <w:rPr>
            <w:noProof/>
            <w:webHidden/>
          </w:rPr>
        </w:r>
        <w:r w:rsidR="005632D0">
          <w:rPr>
            <w:noProof/>
            <w:webHidden/>
          </w:rPr>
          <w:fldChar w:fldCharType="separate"/>
        </w:r>
        <w:r w:rsidR="005632D0">
          <w:rPr>
            <w:noProof/>
            <w:webHidden/>
          </w:rPr>
          <w:t>35</w:t>
        </w:r>
        <w:r w:rsidR="005632D0">
          <w:rPr>
            <w:noProof/>
            <w:webHidden/>
          </w:rPr>
          <w:fldChar w:fldCharType="end"/>
        </w:r>
      </w:hyperlink>
    </w:p>
    <w:p w:rsidR="005632D0" w:rsidRDefault="00510665" w14:paraId="76EDCF87" w14:textId="0870CC3D">
      <w:pPr>
        <w:pStyle w:val="TOC2"/>
        <w:rPr>
          <w:rFonts w:asciiTheme="minorHAnsi" w:hAnsiTheme="minorHAnsi" w:eastAsiaTheme="minorEastAsia" w:cstheme="minorBidi"/>
          <w:noProof/>
          <w:sz w:val="22"/>
          <w:szCs w:val="22"/>
        </w:rPr>
      </w:pPr>
      <w:hyperlink w:history="1" w:anchor="_Toc119238959">
        <w:r w:rsidRPr="003B7A92" w:rsidR="005632D0">
          <w:rPr>
            <w:rStyle w:val="Hyperlink"/>
            <w:noProof/>
          </w:rPr>
          <w:t>13.4</w:t>
        </w:r>
        <w:r w:rsidR="005632D0">
          <w:rPr>
            <w:rFonts w:asciiTheme="minorHAnsi" w:hAnsiTheme="minorHAnsi" w:eastAsiaTheme="minorEastAsia" w:cstheme="minorBidi"/>
            <w:noProof/>
            <w:sz w:val="22"/>
            <w:szCs w:val="22"/>
          </w:rPr>
          <w:tab/>
        </w:r>
        <w:r w:rsidRPr="003B7A92" w:rsidR="005632D0">
          <w:rPr>
            <w:rStyle w:val="Hyperlink"/>
            <w:noProof/>
          </w:rPr>
          <w:t>Governing Law</w:t>
        </w:r>
        <w:r w:rsidR="005632D0">
          <w:rPr>
            <w:noProof/>
            <w:webHidden/>
          </w:rPr>
          <w:tab/>
        </w:r>
        <w:r w:rsidR="005632D0">
          <w:rPr>
            <w:noProof/>
            <w:webHidden/>
          </w:rPr>
          <w:fldChar w:fldCharType="begin"/>
        </w:r>
        <w:r w:rsidR="005632D0">
          <w:rPr>
            <w:noProof/>
            <w:webHidden/>
          </w:rPr>
          <w:instrText xml:space="preserve"> PAGEREF _Toc119238959 \h </w:instrText>
        </w:r>
        <w:r w:rsidR="005632D0">
          <w:rPr>
            <w:noProof/>
            <w:webHidden/>
          </w:rPr>
        </w:r>
        <w:r w:rsidR="005632D0">
          <w:rPr>
            <w:noProof/>
            <w:webHidden/>
          </w:rPr>
          <w:fldChar w:fldCharType="separate"/>
        </w:r>
        <w:r w:rsidR="005632D0">
          <w:rPr>
            <w:noProof/>
            <w:webHidden/>
          </w:rPr>
          <w:t>36</w:t>
        </w:r>
        <w:r w:rsidR="005632D0">
          <w:rPr>
            <w:noProof/>
            <w:webHidden/>
          </w:rPr>
          <w:fldChar w:fldCharType="end"/>
        </w:r>
      </w:hyperlink>
    </w:p>
    <w:p w:rsidR="005632D0" w:rsidRDefault="00510665" w14:paraId="1C3F5286" w14:textId="1B71ECFF">
      <w:pPr>
        <w:pStyle w:val="TOC2"/>
        <w:rPr>
          <w:rFonts w:asciiTheme="minorHAnsi" w:hAnsiTheme="minorHAnsi" w:eastAsiaTheme="minorEastAsia" w:cstheme="minorBidi"/>
          <w:noProof/>
          <w:sz w:val="22"/>
          <w:szCs w:val="22"/>
        </w:rPr>
      </w:pPr>
      <w:hyperlink w:history="1" w:anchor="_Toc119238960">
        <w:r w:rsidRPr="003B7A92" w:rsidR="005632D0">
          <w:rPr>
            <w:rStyle w:val="Hyperlink"/>
            <w:noProof/>
          </w:rPr>
          <w:t>13.5</w:t>
        </w:r>
        <w:r w:rsidR="005632D0">
          <w:rPr>
            <w:rFonts w:asciiTheme="minorHAnsi" w:hAnsiTheme="minorHAnsi" w:eastAsiaTheme="minorEastAsia" w:cstheme="minorBidi"/>
            <w:noProof/>
            <w:sz w:val="22"/>
            <w:szCs w:val="22"/>
          </w:rPr>
          <w:tab/>
        </w:r>
        <w:r w:rsidRPr="003B7A92" w:rsidR="005632D0">
          <w:rPr>
            <w:rStyle w:val="Hyperlink"/>
            <w:noProof/>
          </w:rPr>
          <w:t>Venue</w:t>
        </w:r>
        <w:r w:rsidR="005632D0">
          <w:rPr>
            <w:noProof/>
            <w:webHidden/>
          </w:rPr>
          <w:tab/>
        </w:r>
        <w:r w:rsidR="005632D0">
          <w:rPr>
            <w:noProof/>
            <w:webHidden/>
          </w:rPr>
          <w:fldChar w:fldCharType="begin"/>
        </w:r>
        <w:r w:rsidR="005632D0">
          <w:rPr>
            <w:noProof/>
            <w:webHidden/>
          </w:rPr>
          <w:instrText xml:space="preserve"> PAGEREF _Toc119238960 \h </w:instrText>
        </w:r>
        <w:r w:rsidR="005632D0">
          <w:rPr>
            <w:noProof/>
            <w:webHidden/>
          </w:rPr>
        </w:r>
        <w:r w:rsidR="005632D0">
          <w:rPr>
            <w:noProof/>
            <w:webHidden/>
          </w:rPr>
          <w:fldChar w:fldCharType="separate"/>
        </w:r>
        <w:r w:rsidR="005632D0">
          <w:rPr>
            <w:noProof/>
            <w:webHidden/>
          </w:rPr>
          <w:t>36</w:t>
        </w:r>
        <w:r w:rsidR="005632D0">
          <w:rPr>
            <w:noProof/>
            <w:webHidden/>
          </w:rPr>
          <w:fldChar w:fldCharType="end"/>
        </w:r>
      </w:hyperlink>
    </w:p>
    <w:p w:rsidR="005632D0" w:rsidRDefault="00510665" w14:paraId="444DA87C" w14:textId="5C99F18E">
      <w:pPr>
        <w:pStyle w:val="TOC2"/>
        <w:rPr>
          <w:rFonts w:asciiTheme="minorHAnsi" w:hAnsiTheme="minorHAnsi" w:eastAsiaTheme="minorEastAsia" w:cstheme="minorBidi"/>
          <w:noProof/>
          <w:sz w:val="22"/>
          <w:szCs w:val="22"/>
        </w:rPr>
      </w:pPr>
      <w:hyperlink w:history="1" w:anchor="_Toc119238961">
        <w:r w:rsidRPr="003B7A92" w:rsidR="005632D0">
          <w:rPr>
            <w:rStyle w:val="Hyperlink"/>
            <w:noProof/>
          </w:rPr>
          <w:t>13.6</w:t>
        </w:r>
        <w:r w:rsidR="005632D0">
          <w:rPr>
            <w:rFonts w:asciiTheme="minorHAnsi" w:hAnsiTheme="minorHAnsi" w:eastAsiaTheme="minorEastAsia" w:cstheme="minorBidi"/>
            <w:noProof/>
            <w:sz w:val="22"/>
            <w:szCs w:val="22"/>
          </w:rPr>
          <w:tab/>
        </w:r>
        <w:r w:rsidRPr="003B7A92" w:rsidR="005632D0">
          <w:rPr>
            <w:rStyle w:val="Hyperlink"/>
            <w:noProof/>
          </w:rPr>
          <w:t>Waiver of Jury Trial</w:t>
        </w:r>
        <w:r w:rsidR="005632D0">
          <w:rPr>
            <w:noProof/>
            <w:webHidden/>
          </w:rPr>
          <w:tab/>
        </w:r>
        <w:r w:rsidR="005632D0">
          <w:rPr>
            <w:noProof/>
            <w:webHidden/>
          </w:rPr>
          <w:fldChar w:fldCharType="begin"/>
        </w:r>
        <w:r w:rsidR="005632D0">
          <w:rPr>
            <w:noProof/>
            <w:webHidden/>
          </w:rPr>
          <w:instrText xml:space="preserve"> PAGEREF _Toc119238961 \h </w:instrText>
        </w:r>
        <w:r w:rsidR="005632D0">
          <w:rPr>
            <w:noProof/>
            <w:webHidden/>
          </w:rPr>
        </w:r>
        <w:r w:rsidR="005632D0">
          <w:rPr>
            <w:noProof/>
            <w:webHidden/>
          </w:rPr>
          <w:fldChar w:fldCharType="separate"/>
        </w:r>
        <w:r w:rsidR="005632D0">
          <w:rPr>
            <w:noProof/>
            <w:webHidden/>
          </w:rPr>
          <w:t>37</w:t>
        </w:r>
        <w:r w:rsidR="005632D0">
          <w:rPr>
            <w:noProof/>
            <w:webHidden/>
          </w:rPr>
          <w:fldChar w:fldCharType="end"/>
        </w:r>
      </w:hyperlink>
    </w:p>
    <w:p w:rsidR="005632D0" w:rsidRDefault="00510665" w14:paraId="724573A9" w14:textId="19C13336">
      <w:pPr>
        <w:pStyle w:val="TOC1"/>
        <w:rPr>
          <w:rFonts w:asciiTheme="minorHAnsi" w:hAnsiTheme="minorHAnsi" w:eastAsiaTheme="minorEastAsia" w:cstheme="minorBidi"/>
          <w:b w:val="0"/>
          <w:noProof/>
          <w:sz w:val="22"/>
          <w:szCs w:val="22"/>
        </w:rPr>
      </w:pPr>
      <w:hyperlink w:history="1" w:anchor="_Toc119238962">
        <w:r w:rsidRPr="003B7A92" w:rsidR="005632D0">
          <w:rPr>
            <w:rStyle w:val="Hyperlink"/>
            <w:noProof/>
          </w:rPr>
          <w:t>Article 14 – Force Majeure</w:t>
        </w:r>
        <w:r w:rsidR="005632D0">
          <w:rPr>
            <w:noProof/>
            <w:webHidden/>
          </w:rPr>
          <w:tab/>
        </w:r>
        <w:r w:rsidR="005632D0">
          <w:rPr>
            <w:noProof/>
            <w:webHidden/>
          </w:rPr>
          <w:fldChar w:fldCharType="begin"/>
        </w:r>
        <w:r w:rsidR="005632D0">
          <w:rPr>
            <w:noProof/>
            <w:webHidden/>
          </w:rPr>
          <w:instrText xml:space="preserve"> PAGEREF _Toc119238962 \h </w:instrText>
        </w:r>
        <w:r w:rsidR="005632D0">
          <w:rPr>
            <w:noProof/>
            <w:webHidden/>
          </w:rPr>
        </w:r>
        <w:r w:rsidR="005632D0">
          <w:rPr>
            <w:noProof/>
            <w:webHidden/>
          </w:rPr>
          <w:fldChar w:fldCharType="separate"/>
        </w:r>
        <w:r w:rsidR="005632D0">
          <w:rPr>
            <w:noProof/>
            <w:webHidden/>
          </w:rPr>
          <w:t>37</w:t>
        </w:r>
        <w:r w:rsidR="005632D0">
          <w:rPr>
            <w:noProof/>
            <w:webHidden/>
          </w:rPr>
          <w:fldChar w:fldCharType="end"/>
        </w:r>
      </w:hyperlink>
    </w:p>
    <w:p w:rsidR="005632D0" w:rsidRDefault="00510665" w14:paraId="6D7319B2" w14:textId="1B880600">
      <w:pPr>
        <w:pStyle w:val="TOC2"/>
        <w:rPr>
          <w:rFonts w:asciiTheme="minorHAnsi" w:hAnsiTheme="minorHAnsi" w:eastAsiaTheme="minorEastAsia" w:cstheme="minorBidi"/>
          <w:noProof/>
          <w:sz w:val="22"/>
          <w:szCs w:val="22"/>
        </w:rPr>
      </w:pPr>
      <w:hyperlink w:history="1" w:anchor="_Toc119238963">
        <w:r w:rsidRPr="003B7A92" w:rsidR="005632D0">
          <w:rPr>
            <w:rStyle w:val="Hyperlink"/>
            <w:noProof/>
          </w:rPr>
          <w:t>14.1</w:t>
        </w:r>
        <w:r w:rsidR="005632D0">
          <w:rPr>
            <w:rFonts w:asciiTheme="minorHAnsi" w:hAnsiTheme="minorHAnsi" w:eastAsiaTheme="minorEastAsia" w:cstheme="minorBidi"/>
            <w:noProof/>
            <w:sz w:val="22"/>
            <w:szCs w:val="22"/>
          </w:rPr>
          <w:tab/>
        </w:r>
        <w:r w:rsidRPr="003B7A92" w:rsidR="005632D0">
          <w:rPr>
            <w:rStyle w:val="Hyperlink"/>
            <w:noProof/>
          </w:rPr>
          <w:t>Definition</w:t>
        </w:r>
        <w:r w:rsidR="005632D0">
          <w:rPr>
            <w:noProof/>
            <w:webHidden/>
          </w:rPr>
          <w:tab/>
        </w:r>
        <w:r w:rsidR="005632D0">
          <w:rPr>
            <w:noProof/>
            <w:webHidden/>
          </w:rPr>
          <w:fldChar w:fldCharType="begin"/>
        </w:r>
        <w:r w:rsidR="005632D0">
          <w:rPr>
            <w:noProof/>
            <w:webHidden/>
          </w:rPr>
          <w:instrText xml:space="preserve"> PAGEREF _Toc119238963 \h </w:instrText>
        </w:r>
        <w:r w:rsidR="005632D0">
          <w:rPr>
            <w:noProof/>
            <w:webHidden/>
          </w:rPr>
        </w:r>
        <w:r w:rsidR="005632D0">
          <w:rPr>
            <w:noProof/>
            <w:webHidden/>
          </w:rPr>
          <w:fldChar w:fldCharType="separate"/>
        </w:r>
        <w:r w:rsidR="005632D0">
          <w:rPr>
            <w:noProof/>
            <w:webHidden/>
          </w:rPr>
          <w:t>37</w:t>
        </w:r>
        <w:r w:rsidR="005632D0">
          <w:rPr>
            <w:noProof/>
            <w:webHidden/>
          </w:rPr>
          <w:fldChar w:fldCharType="end"/>
        </w:r>
      </w:hyperlink>
    </w:p>
    <w:p w:rsidR="005632D0" w:rsidRDefault="00510665" w14:paraId="73ADB2E1" w14:textId="5FCF3CB9">
      <w:pPr>
        <w:pStyle w:val="TOC2"/>
        <w:rPr>
          <w:rFonts w:asciiTheme="minorHAnsi" w:hAnsiTheme="minorHAnsi" w:eastAsiaTheme="minorEastAsia" w:cstheme="minorBidi"/>
          <w:noProof/>
          <w:sz w:val="22"/>
          <w:szCs w:val="22"/>
        </w:rPr>
      </w:pPr>
      <w:hyperlink w:history="1" w:anchor="_Toc119238964">
        <w:r w:rsidRPr="003B7A92" w:rsidR="005632D0">
          <w:rPr>
            <w:rStyle w:val="Hyperlink"/>
            <w:noProof/>
          </w:rPr>
          <w:t>14.2</w:t>
        </w:r>
        <w:r w:rsidR="005632D0">
          <w:rPr>
            <w:rFonts w:asciiTheme="minorHAnsi" w:hAnsiTheme="minorHAnsi" w:eastAsiaTheme="minorEastAsia" w:cstheme="minorBidi"/>
            <w:noProof/>
            <w:sz w:val="22"/>
            <w:szCs w:val="22"/>
          </w:rPr>
          <w:tab/>
        </w:r>
        <w:r w:rsidRPr="003B7A92" w:rsidR="005632D0">
          <w:rPr>
            <w:rStyle w:val="Hyperlink"/>
            <w:noProof/>
          </w:rPr>
          <w:t>Applicability of Force Majeure</w:t>
        </w:r>
        <w:r w:rsidR="005632D0">
          <w:rPr>
            <w:noProof/>
            <w:webHidden/>
          </w:rPr>
          <w:tab/>
        </w:r>
        <w:r w:rsidR="005632D0">
          <w:rPr>
            <w:noProof/>
            <w:webHidden/>
          </w:rPr>
          <w:fldChar w:fldCharType="begin"/>
        </w:r>
        <w:r w:rsidR="005632D0">
          <w:rPr>
            <w:noProof/>
            <w:webHidden/>
          </w:rPr>
          <w:instrText xml:space="preserve"> PAGEREF _Toc119238964 \h </w:instrText>
        </w:r>
        <w:r w:rsidR="005632D0">
          <w:rPr>
            <w:noProof/>
            <w:webHidden/>
          </w:rPr>
        </w:r>
        <w:r w:rsidR="005632D0">
          <w:rPr>
            <w:noProof/>
            <w:webHidden/>
          </w:rPr>
          <w:fldChar w:fldCharType="separate"/>
        </w:r>
        <w:r w:rsidR="005632D0">
          <w:rPr>
            <w:noProof/>
            <w:webHidden/>
          </w:rPr>
          <w:t>37</w:t>
        </w:r>
        <w:r w:rsidR="005632D0">
          <w:rPr>
            <w:noProof/>
            <w:webHidden/>
          </w:rPr>
          <w:fldChar w:fldCharType="end"/>
        </w:r>
      </w:hyperlink>
    </w:p>
    <w:p w:rsidR="005632D0" w:rsidRDefault="00510665" w14:paraId="69B44D42" w14:textId="54898AE2">
      <w:pPr>
        <w:pStyle w:val="TOC2"/>
        <w:rPr>
          <w:rFonts w:asciiTheme="minorHAnsi" w:hAnsiTheme="minorHAnsi" w:eastAsiaTheme="minorEastAsia" w:cstheme="minorBidi"/>
          <w:noProof/>
          <w:sz w:val="22"/>
          <w:szCs w:val="22"/>
        </w:rPr>
      </w:pPr>
      <w:hyperlink w:history="1" w:anchor="_Toc119238965">
        <w:r w:rsidRPr="003B7A92" w:rsidR="005632D0">
          <w:rPr>
            <w:rStyle w:val="Hyperlink"/>
            <w:noProof/>
          </w:rPr>
          <w:t>14.3</w:t>
        </w:r>
        <w:r w:rsidR="005632D0">
          <w:rPr>
            <w:rFonts w:asciiTheme="minorHAnsi" w:hAnsiTheme="minorHAnsi" w:eastAsiaTheme="minorEastAsia" w:cstheme="minorBidi"/>
            <w:noProof/>
            <w:sz w:val="22"/>
            <w:szCs w:val="22"/>
          </w:rPr>
          <w:tab/>
        </w:r>
        <w:r w:rsidRPr="003B7A92" w:rsidR="005632D0">
          <w:rPr>
            <w:rStyle w:val="Hyperlink"/>
            <w:noProof/>
          </w:rPr>
          <w:t>Limitations on Effect of Force Majeure</w:t>
        </w:r>
        <w:r w:rsidR="005632D0">
          <w:rPr>
            <w:noProof/>
            <w:webHidden/>
          </w:rPr>
          <w:tab/>
        </w:r>
        <w:r w:rsidR="005632D0">
          <w:rPr>
            <w:noProof/>
            <w:webHidden/>
          </w:rPr>
          <w:fldChar w:fldCharType="begin"/>
        </w:r>
        <w:r w:rsidR="005632D0">
          <w:rPr>
            <w:noProof/>
            <w:webHidden/>
          </w:rPr>
          <w:instrText xml:space="preserve"> PAGEREF _Toc119238965 \h </w:instrText>
        </w:r>
        <w:r w:rsidR="005632D0">
          <w:rPr>
            <w:noProof/>
            <w:webHidden/>
          </w:rPr>
        </w:r>
        <w:r w:rsidR="005632D0">
          <w:rPr>
            <w:noProof/>
            <w:webHidden/>
          </w:rPr>
          <w:fldChar w:fldCharType="separate"/>
        </w:r>
        <w:r w:rsidR="005632D0">
          <w:rPr>
            <w:noProof/>
            <w:webHidden/>
          </w:rPr>
          <w:t>38</w:t>
        </w:r>
        <w:r w:rsidR="005632D0">
          <w:rPr>
            <w:noProof/>
            <w:webHidden/>
          </w:rPr>
          <w:fldChar w:fldCharType="end"/>
        </w:r>
      </w:hyperlink>
    </w:p>
    <w:p w:rsidR="005632D0" w:rsidRDefault="00510665" w14:paraId="4504CFFE" w14:textId="7472B2D0">
      <w:pPr>
        <w:pStyle w:val="TOC1"/>
        <w:rPr>
          <w:rFonts w:asciiTheme="minorHAnsi" w:hAnsiTheme="minorHAnsi" w:eastAsiaTheme="minorEastAsia" w:cstheme="minorBidi"/>
          <w:b w:val="0"/>
          <w:noProof/>
          <w:sz w:val="22"/>
          <w:szCs w:val="22"/>
        </w:rPr>
      </w:pPr>
      <w:hyperlink w:history="1" w:anchor="_Toc119238966">
        <w:r w:rsidRPr="003B7A92" w:rsidR="005632D0">
          <w:rPr>
            <w:rStyle w:val="Hyperlink"/>
            <w:noProof/>
          </w:rPr>
          <w:t>Article 15 – Representations, Warranties and Covenants</w:t>
        </w:r>
        <w:r w:rsidR="005632D0">
          <w:rPr>
            <w:noProof/>
            <w:webHidden/>
          </w:rPr>
          <w:tab/>
        </w:r>
        <w:r w:rsidR="005632D0">
          <w:rPr>
            <w:noProof/>
            <w:webHidden/>
          </w:rPr>
          <w:fldChar w:fldCharType="begin"/>
        </w:r>
        <w:r w:rsidR="005632D0">
          <w:rPr>
            <w:noProof/>
            <w:webHidden/>
          </w:rPr>
          <w:instrText xml:space="preserve"> PAGEREF _Toc119238966 \h </w:instrText>
        </w:r>
        <w:r w:rsidR="005632D0">
          <w:rPr>
            <w:noProof/>
            <w:webHidden/>
          </w:rPr>
        </w:r>
        <w:r w:rsidR="005632D0">
          <w:rPr>
            <w:noProof/>
            <w:webHidden/>
          </w:rPr>
          <w:fldChar w:fldCharType="separate"/>
        </w:r>
        <w:r w:rsidR="005632D0">
          <w:rPr>
            <w:noProof/>
            <w:webHidden/>
          </w:rPr>
          <w:t>38</w:t>
        </w:r>
        <w:r w:rsidR="005632D0">
          <w:rPr>
            <w:noProof/>
            <w:webHidden/>
          </w:rPr>
          <w:fldChar w:fldCharType="end"/>
        </w:r>
      </w:hyperlink>
    </w:p>
    <w:p w:rsidR="005632D0" w:rsidRDefault="00510665" w14:paraId="64AC1624" w14:textId="3686A1EF">
      <w:pPr>
        <w:pStyle w:val="TOC1"/>
        <w:rPr>
          <w:rFonts w:asciiTheme="minorHAnsi" w:hAnsiTheme="minorHAnsi" w:eastAsiaTheme="minorEastAsia" w:cstheme="minorBidi"/>
          <w:b w:val="0"/>
          <w:noProof/>
          <w:sz w:val="22"/>
          <w:szCs w:val="22"/>
        </w:rPr>
      </w:pPr>
      <w:hyperlink w:history="1" w:anchor="_Toc119238967">
        <w:r w:rsidRPr="003B7A92" w:rsidR="005632D0">
          <w:rPr>
            <w:rStyle w:val="Hyperlink"/>
            <w:noProof/>
          </w:rPr>
          <w:t>Article 16 - Insurance</w:t>
        </w:r>
        <w:r w:rsidR="005632D0">
          <w:rPr>
            <w:noProof/>
            <w:webHidden/>
          </w:rPr>
          <w:tab/>
        </w:r>
        <w:r w:rsidR="005632D0">
          <w:rPr>
            <w:noProof/>
            <w:webHidden/>
          </w:rPr>
          <w:fldChar w:fldCharType="begin"/>
        </w:r>
        <w:r w:rsidR="005632D0">
          <w:rPr>
            <w:noProof/>
            <w:webHidden/>
          </w:rPr>
          <w:instrText xml:space="preserve"> PAGEREF _Toc119238967 \h </w:instrText>
        </w:r>
        <w:r w:rsidR="005632D0">
          <w:rPr>
            <w:noProof/>
            <w:webHidden/>
          </w:rPr>
        </w:r>
        <w:r w:rsidR="005632D0">
          <w:rPr>
            <w:noProof/>
            <w:webHidden/>
          </w:rPr>
          <w:fldChar w:fldCharType="separate"/>
        </w:r>
        <w:r w:rsidR="005632D0">
          <w:rPr>
            <w:noProof/>
            <w:webHidden/>
          </w:rPr>
          <w:t>39</w:t>
        </w:r>
        <w:r w:rsidR="005632D0">
          <w:rPr>
            <w:noProof/>
            <w:webHidden/>
          </w:rPr>
          <w:fldChar w:fldCharType="end"/>
        </w:r>
      </w:hyperlink>
    </w:p>
    <w:p w:rsidR="005632D0" w:rsidRDefault="00510665" w14:paraId="38DA5F3C" w14:textId="4EE52D6F">
      <w:pPr>
        <w:pStyle w:val="TOC2"/>
        <w:rPr>
          <w:rFonts w:asciiTheme="minorHAnsi" w:hAnsiTheme="minorHAnsi" w:eastAsiaTheme="minorEastAsia" w:cstheme="minorBidi"/>
          <w:noProof/>
          <w:sz w:val="22"/>
          <w:szCs w:val="22"/>
        </w:rPr>
      </w:pPr>
      <w:hyperlink w:history="1" w:anchor="_Toc119238968">
        <w:r w:rsidRPr="003B7A92" w:rsidR="005632D0">
          <w:rPr>
            <w:rStyle w:val="Hyperlink"/>
            <w:noProof/>
          </w:rPr>
          <w:t>16.1</w:t>
        </w:r>
        <w:r w:rsidR="005632D0">
          <w:rPr>
            <w:rFonts w:asciiTheme="minorHAnsi" w:hAnsiTheme="minorHAnsi" w:eastAsiaTheme="minorEastAsia" w:cstheme="minorBidi"/>
            <w:noProof/>
            <w:sz w:val="22"/>
            <w:szCs w:val="22"/>
          </w:rPr>
          <w:tab/>
        </w:r>
        <w:r w:rsidRPr="003B7A92" w:rsidR="005632D0">
          <w:rPr>
            <w:rStyle w:val="Hyperlink"/>
            <w:noProof/>
          </w:rPr>
          <w:t>Evidence of Insurance</w:t>
        </w:r>
        <w:r w:rsidR="005632D0">
          <w:rPr>
            <w:noProof/>
            <w:webHidden/>
          </w:rPr>
          <w:tab/>
        </w:r>
        <w:r w:rsidR="005632D0">
          <w:rPr>
            <w:noProof/>
            <w:webHidden/>
          </w:rPr>
          <w:fldChar w:fldCharType="begin"/>
        </w:r>
        <w:r w:rsidR="005632D0">
          <w:rPr>
            <w:noProof/>
            <w:webHidden/>
          </w:rPr>
          <w:instrText xml:space="preserve"> PAGEREF _Toc119238968 \h </w:instrText>
        </w:r>
        <w:r w:rsidR="005632D0">
          <w:rPr>
            <w:noProof/>
            <w:webHidden/>
          </w:rPr>
        </w:r>
        <w:r w:rsidR="005632D0">
          <w:rPr>
            <w:noProof/>
            <w:webHidden/>
          </w:rPr>
          <w:fldChar w:fldCharType="separate"/>
        </w:r>
        <w:r w:rsidR="005632D0">
          <w:rPr>
            <w:noProof/>
            <w:webHidden/>
          </w:rPr>
          <w:t>39</w:t>
        </w:r>
        <w:r w:rsidR="005632D0">
          <w:rPr>
            <w:noProof/>
            <w:webHidden/>
          </w:rPr>
          <w:fldChar w:fldCharType="end"/>
        </w:r>
      </w:hyperlink>
    </w:p>
    <w:p w:rsidR="005632D0" w:rsidRDefault="00510665" w14:paraId="2C8459D0" w14:textId="04D14CB0">
      <w:pPr>
        <w:pStyle w:val="TOC2"/>
        <w:rPr>
          <w:rFonts w:asciiTheme="minorHAnsi" w:hAnsiTheme="minorHAnsi" w:eastAsiaTheme="minorEastAsia" w:cstheme="minorBidi"/>
          <w:noProof/>
          <w:sz w:val="22"/>
          <w:szCs w:val="22"/>
        </w:rPr>
      </w:pPr>
      <w:hyperlink w:history="1" w:anchor="_Toc119238969">
        <w:r w:rsidRPr="003B7A92" w:rsidR="005632D0">
          <w:rPr>
            <w:rStyle w:val="Hyperlink"/>
            <w:noProof/>
          </w:rPr>
          <w:t>16.2</w:t>
        </w:r>
        <w:r w:rsidR="005632D0">
          <w:rPr>
            <w:rFonts w:asciiTheme="minorHAnsi" w:hAnsiTheme="minorHAnsi" w:eastAsiaTheme="minorEastAsia" w:cstheme="minorBidi"/>
            <w:noProof/>
            <w:sz w:val="22"/>
            <w:szCs w:val="22"/>
          </w:rPr>
          <w:tab/>
        </w:r>
        <w:r w:rsidRPr="003B7A92" w:rsidR="005632D0">
          <w:rPr>
            <w:rStyle w:val="Hyperlink"/>
            <w:noProof/>
          </w:rPr>
          <w:t>Policy Requirements</w:t>
        </w:r>
        <w:r w:rsidR="005632D0">
          <w:rPr>
            <w:noProof/>
            <w:webHidden/>
          </w:rPr>
          <w:tab/>
        </w:r>
        <w:r w:rsidR="005632D0">
          <w:rPr>
            <w:noProof/>
            <w:webHidden/>
          </w:rPr>
          <w:fldChar w:fldCharType="begin"/>
        </w:r>
        <w:r w:rsidR="005632D0">
          <w:rPr>
            <w:noProof/>
            <w:webHidden/>
          </w:rPr>
          <w:instrText xml:space="preserve"> PAGEREF _Toc119238969 \h </w:instrText>
        </w:r>
        <w:r w:rsidR="005632D0">
          <w:rPr>
            <w:noProof/>
            <w:webHidden/>
          </w:rPr>
        </w:r>
        <w:r w:rsidR="005632D0">
          <w:rPr>
            <w:noProof/>
            <w:webHidden/>
          </w:rPr>
          <w:fldChar w:fldCharType="separate"/>
        </w:r>
        <w:r w:rsidR="005632D0">
          <w:rPr>
            <w:noProof/>
            <w:webHidden/>
          </w:rPr>
          <w:t>40</w:t>
        </w:r>
        <w:r w:rsidR="005632D0">
          <w:rPr>
            <w:noProof/>
            <w:webHidden/>
          </w:rPr>
          <w:fldChar w:fldCharType="end"/>
        </w:r>
      </w:hyperlink>
    </w:p>
    <w:p w:rsidR="005632D0" w:rsidRDefault="00510665" w14:paraId="6C76524F" w14:textId="0AD36FB1">
      <w:pPr>
        <w:pStyle w:val="TOC2"/>
        <w:rPr>
          <w:rFonts w:asciiTheme="minorHAnsi" w:hAnsiTheme="minorHAnsi" w:eastAsiaTheme="minorEastAsia" w:cstheme="minorBidi"/>
          <w:noProof/>
          <w:sz w:val="22"/>
          <w:szCs w:val="22"/>
        </w:rPr>
      </w:pPr>
      <w:hyperlink w:history="1" w:anchor="_Toc119238970">
        <w:r w:rsidRPr="003B7A92" w:rsidR="005632D0">
          <w:rPr>
            <w:rStyle w:val="Hyperlink"/>
            <w:noProof/>
          </w:rPr>
          <w:t>16.3</w:t>
        </w:r>
        <w:r w:rsidR="005632D0">
          <w:rPr>
            <w:rFonts w:asciiTheme="minorHAnsi" w:hAnsiTheme="minorHAnsi" w:eastAsiaTheme="minorEastAsia" w:cstheme="minorBidi"/>
            <w:noProof/>
            <w:sz w:val="22"/>
            <w:szCs w:val="22"/>
          </w:rPr>
          <w:tab/>
        </w:r>
        <w:r w:rsidRPr="003B7A92" w:rsidR="005632D0">
          <w:rPr>
            <w:rStyle w:val="Hyperlink"/>
            <w:noProof/>
          </w:rPr>
          <w:t>No Implied Limitation</w:t>
        </w:r>
        <w:r w:rsidR="005632D0">
          <w:rPr>
            <w:noProof/>
            <w:webHidden/>
          </w:rPr>
          <w:tab/>
        </w:r>
        <w:r w:rsidR="005632D0">
          <w:rPr>
            <w:noProof/>
            <w:webHidden/>
          </w:rPr>
          <w:fldChar w:fldCharType="begin"/>
        </w:r>
        <w:r w:rsidR="005632D0">
          <w:rPr>
            <w:noProof/>
            <w:webHidden/>
          </w:rPr>
          <w:instrText xml:space="preserve"> PAGEREF _Toc119238970 \h </w:instrText>
        </w:r>
        <w:r w:rsidR="005632D0">
          <w:rPr>
            <w:noProof/>
            <w:webHidden/>
          </w:rPr>
        </w:r>
        <w:r w:rsidR="005632D0">
          <w:rPr>
            <w:noProof/>
            <w:webHidden/>
          </w:rPr>
          <w:fldChar w:fldCharType="separate"/>
        </w:r>
        <w:r w:rsidR="005632D0">
          <w:rPr>
            <w:noProof/>
            <w:webHidden/>
          </w:rPr>
          <w:t>40</w:t>
        </w:r>
        <w:r w:rsidR="005632D0">
          <w:rPr>
            <w:noProof/>
            <w:webHidden/>
          </w:rPr>
          <w:fldChar w:fldCharType="end"/>
        </w:r>
      </w:hyperlink>
    </w:p>
    <w:p w:rsidR="005632D0" w:rsidRDefault="00510665" w14:paraId="1240810F" w14:textId="001F51DD">
      <w:pPr>
        <w:pStyle w:val="TOC2"/>
        <w:rPr>
          <w:rFonts w:asciiTheme="minorHAnsi" w:hAnsiTheme="minorHAnsi" w:eastAsiaTheme="minorEastAsia" w:cstheme="minorBidi"/>
          <w:noProof/>
          <w:sz w:val="22"/>
          <w:szCs w:val="22"/>
        </w:rPr>
      </w:pPr>
      <w:hyperlink w:history="1" w:anchor="_Toc119238971">
        <w:r w:rsidRPr="003B7A92" w:rsidR="005632D0">
          <w:rPr>
            <w:rStyle w:val="Hyperlink"/>
            <w:noProof/>
          </w:rPr>
          <w:t>16.4</w:t>
        </w:r>
        <w:r w:rsidR="005632D0">
          <w:rPr>
            <w:rFonts w:asciiTheme="minorHAnsi" w:hAnsiTheme="minorHAnsi" w:eastAsiaTheme="minorEastAsia" w:cstheme="minorBidi"/>
            <w:noProof/>
            <w:sz w:val="22"/>
            <w:szCs w:val="22"/>
          </w:rPr>
          <w:tab/>
        </w:r>
        <w:r w:rsidRPr="003B7A92" w:rsidR="005632D0">
          <w:rPr>
            <w:rStyle w:val="Hyperlink"/>
            <w:noProof/>
          </w:rPr>
          <w:t>Term and Modification of Insurance</w:t>
        </w:r>
        <w:r w:rsidR="005632D0">
          <w:rPr>
            <w:noProof/>
            <w:webHidden/>
          </w:rPr>
          <w:tab/>
        </w:r>
        <w:r w:rsidR="005632D0">
          <w:rPr>
            <w:noProof/>
            <w:webHidden/>
          </w:rPr>
          <w:fldChar w:fldCharType="begin"/>
        </w:r>
        <w:r w:rsidR="005632D0">
          <w:rPr>
            <w:noProof/>
            <w:webHidden/>
          </w:rPr>
          <w:instrText xml:space="preserve"> PAGEREF _Toc119238971 \h </w:instrText>
        </w:r>
        <w:r w:rsidR="005632D0">
          <w:rPr>
            <w:noProof/>
            <w:webHidden/>
          </w:rPr>
        </w:r>
        <w:r w:rsidR="005632D0">
          <w:rPr>
            <w:noProof/>
            <w:webHidden/>
          </w:rPr>
          <w:fldChar w:fldCharType="separate"/>
        </w:r>
        <w:r w:rsidR="005632D0">
          <w:rPr>
            <w:noProof/>
            <w:webHidden/>
          </w:rPr>
          <w:t>40</w:t>
        </w:r>
        <w:r w:rsidR="005632D0">
          <w:rPr>
            <w:noProof/>
            <w:webHidden/>
          </w:rPr>
          <w:fldChar w:fldCharType="end"/>
        </w:r>
      </w:hyperlink>
    </w:p>
    <w:p w:rsidR="005632D0" w:rsidRDefault="00510665" w14:paraId="4FA3E6B4" w14:textId="2F4643D4">
      <w:pPr>
        <w:pStyle w:val="TOC2"/>
        <w:rPr>
          <w:rFonts w:asciiTheme="minorHAnsi" w:hAnsiTheme="minorHAnsi" w:eastAsiaTheme="minorEastAsia" w:cstheme="minorBidi"/>
          <w:noProof/>
          <w:sz w:val="22"/>
          <w:szCs w:val="22"/>
        </w:rPr>
      </w:pPr>
      <w:hyperlink w:history="1" w:anchor="_Toc119238972">
        <w:r w:rsidRPr="003B7A92" w:rsidR="005632D0">
          <w:rPr>
            <w:rStyle w:val="Hyperlink"/>
            <w:noProof/>
          </w:rPr>
          <w:t>16.5</w:t>
        </w:r>
        <w:r w:rsidR="005632D0">
          <w:rPr>
            <w:rFonts w:asciiTheme="minorHAnsi" w:hAnsiTheme="minorHAnsi" w:eastAsiaTheme="minorEastAsia" w:cstheme="minorBidi"/>
            <w:noProof/>
            <w:sz w:val="22"/>
            <w:szCs w:val="22"/>
          </w:rPr>
          <w:tab/>
        </w:r>
        <w:r w:rsidRPr="003B7A92" w:rsidR="005632D0">
          <w:rPr>
            <w:rStyle w:val="Hyperlink"/>
            <w:noProof/>
          </w:rPr>
          <w:t>Application of Proceeds</w:t>
        </w:r>
        <w:r w:rsidR="005632D0">
          <w:rPr>
            <w:noProof/>
            <w:webHidden/>
          </w:rPr>
          <w:tab/>
        </w:r>
        <w:r w:rsidR="005632D0">
          <w:rPr>
            <w:noProof/>
            <w:webHidden/>
          </w:rPr>
          <w:fldChar w:fldCharType="begin"/>
        </w:r>
        <w:r w:rsidR="005632D0">
          <w:rPr>
            <w:noProof/>
            <w:webHidden/>
          </w:rPr>
          <w:instrText xml:space="preserve"> PAGEREF _Toc119238972 \h </w:instrText>
        </w:r>
        <w:r w:rsidR="005632D0">
          <w:rPr>
            <w:noProof/>
            <w:webHidden/>
          </w:rPr>
        </w:r>
        <w:r w:rsidR="005632D0">
          <w:rPr>
            <w:noProof/>
            <w:webHidden/>
          </w:rPr>
          <w:fldChar w:fldCharType="separate"/>
        </w:r>
        <w:r w:rsidR="005632D0">
          <w:rPr>
            <w:noProof/>
            <w:webHidden/>
          </w:rPr>
          <w:t>40</w:t>
        </w:r>
        <w:r w:rsidR="005632D0">
          <w:rPr>
            <w:noProof/>
            <w:webHidden/>
          </w:rPr>
          <w:fldChar w:fldCharType="end"/>
        </w:r>
      </w:hyperlink>
    </w:p>
    <w:p w:rsidR="005632D0" w:rsidRDefault="00510665" w14:paraId="5DD66174" w14:textId="64873730">
      <w:pPr>
        <w:pStyle w:val="TOC1"/>
        <w:rPr>
          <w:rFonts w:asciiTheme="minorHAnsi" w:hAnsiTheme="minorHAnsi" w:eastAsiaTheme="minorEastAsia" w:cstheme="minorBidi"/>
          <w:b w:val="0"/>
          <w:noProof/>
          <w:sz w:val="22"/>
          <w:szCs w:val="22"/>
        </w:rPr>
      </w:pPr>
      <w:hyperlink w:history="1" w:anchor="_Toc119238973">
        <w:r w:rsidRPr="003B7A92" w:rsidR="005632D0">
          <w:rPr>
            <w:rStyle w:val="Hyperlink"/>
            <w:noProof/>
          </w:rPr>
          <w:t>Article 17 - Indemnity</w:t>
        </w:r>
        <w:r w:rsidR="005632D0">
          <w:rPr>
            <w:noProof/>
            <w:webHidden/>
          </w:rPr>
          <w:tab/>
        </w:r>
        <w:r w:rsidR="005632D0">
          <w:rPr>
            <w:noProof/>
            <w:webHidden/>
          </w:rPr>
          <w:fldChar w:fldCharType="begin"/>
        </w:r>
        <w:r w:rsidR="005632D0">
          <w:rPr>
            <w:noProof/>
            <w:webHidden/>
          </w:rPr>
          <w:instrText xml:space="preserve"> PAGEREF _Toc119238973 \h </w:instrText>
        </w:r>
        <w:r w:rsidR="005632D0">
          <w:rPr>
            <w:noProof/>
            <w:webHidden/>
          </w:rPr>
        </w:r>
        <w:r w:rsidR="005632D0">
          <w:rPr>
            <w:noProof/>
            <w:webHidden/>
          </w:rPr>
          <w:fldChar w:fldCharType="separate"/>
        </w:r>
        <w:r w:rsidR="005632D0">
          <w:rPr>
            <w:noProof/>
            <w:webHidden/>
          </w:rPr>
          <w:t>40</w:t>
        </w:r>
        <w:r w:rsidR="005632D0">
          <w:rPr>
            <w:noProof/>
            <w:webHidden/>
          </w:rPr>
          <w:fldChar w:fldCharType="end"/>
        </w:r>
      </w:hyperlink>
    </w:p>
    <w:p w:rsidR="005632D0" w:rsidRDefault="00510665" w14:paraId="046585B9" w14:textId="67A5357E">
      <w:pPr>
        <w:pStyle w:val="TOC2"/>
        <w:rPr>
          <w:rFonts w:asciiTheme="minorHAnsi" w:hAnsiTheme="minorHAnsi" w:eastAsiaTheme="minorEastAsia" w:cstheme="minorBidi"/>
          <w:noProof/>
          <w:sz w:val="22"/>
          <w:szCs w:val="22"/>
        </w:rPr>
      </w:pPr>
      <w:hyperlink w:history="1" w:anchor="_Toc119238974">
        <w:r w:rsidRPr="003B7A92" w:rsidR="005632D0">
          <w:rPr>
            <w:rStyle w:val="Hyperlink"/>
            <w:noProof/>
          </w:rPr>
          <w:t>17.1</w:t>
        </w:r>
        <w:r w:rsidR="005632D0">
          <w:rPr>
            <w:rFonts w:asciiTheme="minorHAnsi" w:hAnsiTheme="minorHAnsi" w:eastAsiaTheme="minorEastAsia" w:cstheme="minorBidi"/>
            <w:noProof/>
            <w:sz w:val="22"/>
            <w:szCs w:val="22"/>
          </w:rPr>
          <w:tab/>
        </w:r>
        <w:r w:rsidRPr="003B7A92" w:rsidR="005632D0">
          <w:rPr>
            <w:rStyle w:val="Hyperlink"/>
            <w:noProof/>
          </w:rPr>
          <w:t>Indemnification: General</w:t>
        </w:r>
        <w:r w:rsidR="005632D0">
          <w:rPr>
            <w:noProof/>
            <w:webHidden/>
          </w:rPr>
          <w:tab/>
        </w:r>
        <w:r w:rsidR="005632D0">
          <w:rPr>
            <w:noProof/>
            <w:webHidden/>
          </w:rPr>
          <w:fldChar w:fldCharType="begin"/>
        </w:r>
        <w:r w:rsidR="005632D0">
          <w:rPr>
            <w:noProof/>
            <w:webHidden/>
          </w:rPr>
          <w:instrText xml:space="preserve"> PAGEREF _Toc119238974 \h </w:instrText>
        </w:r>
        <w:r w:rsidR="005632D0">
          <w:rPr>
            <w:noProof/>
            <w:webHidden/>
          </w:rPr>
        </w:r>
        <w:r w:rsidR="005632D0">
          <w:rPr>
            <w:noProof/>
            <w:webHidden/>
          </w:rPr>
          <w:fldChar w:fldCharType="separate"/>
        </w:r>
        <w:r w:rsidR="005632D0">
          <w:rPr>
            <w:noProof/>
            <w:webHidden/>
          </w:rPr>
          <w:t>40</w:t>
        </w:r>
        <w:r w:rsidR="005632D0">
          <w:rPr>
            <w:noProof/>
            <w:webHidden/>
          </w:rPr>
          <w:fldChar w:fldCharType="end"/>
        </w:r>
      </w:hyperlink>
    </w:p>
    <w:p w:rsidR="005632D0" w:rsidRDefault="00510665" w14:paraId="45C7B0DF" w14:textId="4A39D386">
      <w:pPr>
        <w:pStyle w:val="TOC2"/>
        <w:rPr>
          <w:rFonts w:asciiTheme="minorHAnsi" w:hAnsiTheme="minorHAnsi" w:eastAsiaTheme="minorEastAsia" w:cstheme="minorBidi"/>
          <w:noProof/>
          <w:sz w:val="22"/>
          <w:szCs w:val="22"/>
        </w:rPr>
      </w:pPr>
      <w:hyperlink w:history="1" w:anchor="_Toc119238975">
        <w:r w:rsidRPr="003B7A92" w:rsidR="005632D0">
          <w:rPr>
            <w:rStyle w:val="Hyperlink"/>
            <w:noProof/>
          </w:rPr>
          <w:t>17.2</w:t>
        </w:r>
        <w:r w:rsidR="005632D0">
          <w:rPr>
            <w:rFonts w:asciiTheme="minorHAnsi" w:hAnsiTheme="minorHAnsi" w:eastAsiaTheme="minorEastAsia" w:cstheme="minorBidi"/>
            <w:noProof/>
            <w:sz w:val="22"/>
            <w:szCs w:val="22"/>
          </w:rPr>
          <w:tab/>
        </w:r>
        <w:r w:rsidRPr="003B7A92" w:rsidR="005632D0">
          <w:rPr>
            <w:rStyle w:val="Hyperlink"/>
            <w:noProof/>
          </w:rPr>
          <w:t>Indemnification: Environmental</w:t>
        </w:r>
        <w:r w:rsidR="005632D0">
          <w:rPr>
            <w:noProof/>
            <w:webHidden/>
          </w:rPr>
          <w:tab/>
        </w:r>
        <w:r w:rsidR="005632D0">
          <w:rPr>
            <w:noProof/>
            <w:webHidden/>
          </w:rPr>
          <w:fldChar w:fldCharType="begin"/>
        </w:r>
        <w:r w:rsidR="005632D0">
          <w:rPr>
            <w:noProof/>
            <w:webHidden/>
          </w:rPr>
          <w:instrText xml:space="preserve"> PAGEREF _Toc119238975 \h </w:instrText>
        </w:r>
        <w:r w:rsidR="005632D0">
          <w:rPr>
            <w:noProof/>
            <w:webHidden/>
          </w:rPr>
        </w:r>
        <w:r w:rsidR="005632D0">
          <w:rPr>
            <w:noProof/>
            <w:webHidden/>
          </w:rPr>
          <w:fldChar w:fldCharType="separate"/>
        </w:r>
        <w:r w:rsidR="005632D0">
          <w:rPr>
            <w:noProof/>
            <w:webHidden/>
          </w:rPr>
          <w:t>41</w:t>
        </w:r>
        <w:r w:rsidR="005632D0">
          <w:rPr>
            <w:noProof/>
            <w:webHidden/>
          </w:rPr>
          <w:fldChar w:fldCharType="end"/>
        </w:r>
      </w:hyperlink>
    </w:p>
    <w:p w:rsidR="005632D0" w:rsidRDefault="00510665" w14:paraId="18D92A5D" w14:textId="6F04E7C3">
      <w:pPr>
        <w:pStyle w:val="TOC2"/>
        <w:rPr>
          <w:rFonts w:asciiTheme="minorHAnsi" w:hAnsiTheme="minorHAnsi" w:eastAsiaTheme="minorEastAsia" w:cstheme="minorBidi"/>
          <w:noProof/>
          <w:sz w:val="22"/>
          <w:szCs w:val="22"/>
        </w:rPr>
      </w:pPr>
      <w:hyperlink w:history="1" w:anchor="_Toc119238976">
        <w:r w:rsidRPr="003B7A92" w:rsidR="005632D0">
          <w:rPr>
            <w:rStyle w:val="Hyperlink"/>
            <w:noProof/>
          </w:rPr>
          <w:t>17.4</w:t>
        </w:r>
        <w:r w:rsidR="005632D0">
          <w:rPr>
            <w:rFonts w:asciiTheme="minorHAnsi" w:hAnsiTheme="minorHAnsi" w:eastAsiaTheme="minorEastAsia" w:cstheme="minorBidi"/>
            <w:noProof/>
            <w:sz w:val="22"/>
            <w:szCs w:val="22"/>
          </w:rPr>
          <w:tab/>
        </w:r>
        <w:r w:rsidRPr="003B7A92" w:rsidR="005632D0">
          <w:rPr>
            <w:rStyle w:val="Hyperlink"/>
            <w:noProof/>
          </w:rPr>
          <w:t>Limitations</w:t>
        </w:r>
        <w:r w:rsidR="005632D0">
          <w:rPr>
            <w:noProof/>
            <w:webHidden/>
          </w:rPr>
          <w:tab/>
        </w:r>
        <w:r w:rsidR="005632D0">
          <w:rPr>
            <w:noProof/>
            <w:webHidden/>
          </w:rPr>
          <w:fldChar w:fldCharType="begin"/>
        </w:r>
        <w:r w:rsidR="005632D0">
          <w:rPr>
            <w:noProof/>
            <w:webHidden/>
          </w:rPr>
          <w:instrText xml:space="preserve"> PAGEREF _Toc119238976 \h </w:instrText>
        </w:r>
        <w:r w:rsidR="005632D0">
          <w:rPr>
            <w:noProof/>
            <w:webHidden/>
          </w:rPr>
        </w:r>
        <w:r w:rsidR="005632D0">
          <w:rPr>
            <w:noProof/>
            <w:webHidden/>
          </w:rPr>
          <w:fldChar w:fldCharType="separate"/>
        </w:r>
        <w:r w:rsidR="005632D0">
          <w:rPr>
            <w:noProof/>
            <w:webHidden/>
          </w:rPr>
          <w:t>41</w:t>
        </w:r>
        <w:r w:rsidR="005632D0">
          <w:rPr>
            <w:noProof/>
            <w:webHidden/>
          </w:rPr>
          <w:fldChar w:fldCharType="end"/>
        </w:r>
      </w:hyperlink>
    </w:p>
    <w:p w:rsidR="005632D0" w:rsidRDefault="00510665" w14:paraId="5E3AF2F9" w14:textId="587415C3">
      <w:pPr>
        <w:pStyle w:val="TOC2"/>
        <w:rPr>
          <w:rFonts w:asciiTheme="minorHAnsi" w:hAnsiTheme="minorHAnsi" w:eastAsiaTheme="minorEastAsia" w:cstheme="minorBidi"/>
          <w:noProof/>
          <w:sz w:val="22"/>
          <w:szCs w:val="22"/>
        </w:rPr>
      </w:pPr>
      <w:hyperlink w:history="1" w:anchor="_Toc119238977">
        <w:r w:rsidRPr="003B7A92" w:rsidR="005632D0">
          <w:rPr>
            <w:rStyle w:val="Hyperlink"/>
            <w:noProof/>
          </w:rPr>
          <w:t>17.5</w:t>
        </w:r>
        <w:r w:rsidR="005632D0">
          <w:rPr>
            <w:rFonts w:asciiTheme="minorHAnsi" w:hAnsiTheme="minorHAnsi" w:eastAsiaTheme="minorEastAsia" w:cstheme="minorBidi"/>
            <w:noProof/>
            <w:sz w:val="22"/>
            <w:szCs w:val="22"/>
          </w:rPr>
          <w:tab/>
        </w:r>
        <w:r w:rsidRPr="003B7A92" w:rsidR="005632D0">
          <w:rPr>
            <w:rStyle w:val="Hyperlink"/>
            <w:noProof/>
          </w:rPr>
          <w:t>Procedures</w:t>
        </w:r>
        <w:r w:rsidR="005632D0">
          <w:rPr>
            <w:noProof/>
            <w:webHidden/>
          </w:rPr>
          <w:tab/>
        </w:r>
        <w:r w:rsidR="005632D0">
          <w:rPr>
            <w:noProof/>
            <w:webHidden/>
          </w:rPr>
          <w:fldChar w:fldCharType="begin"/>
        </w:r>
        <w:r w:rsidR="005632D0">
          <w:rPr>
            <w:noProof/>
            <w:webHidden/>
          </w:rPr>
          <w:instrText xml:space="preserve"> PAGEREF _Toc119238977 \h </w:instrText>
        </w:r>
        <w:r w:rsidR="005632D0">
          <w:rPr>
            <w:noProof/>
            <w:webHidden/>
          </w:rPr>
        </w:r>
        <w:r w:rsidR="005632D0">
          <w:rPr>
            <w:noProof/>
            <w:webHidden/>
          </w:rPr>
          <w:fldChar w:fldCharType="separate"/>
        </w:r>
        <w:r w:rsidR="005632D0">
          <w:rPr>
            <w:noProof/>
            <w:webHidden/>
          </w:rPr>
          <w:t>41</w:t>
        </w:r>
        <w:r w:rsidR="005632D0">
          <w:rPr>
            <w:noProof/>
            <w:webHidden/>
          </w:rPr>
          <w:fldChar w:fldCharType="end"/>
        </w:r>
      </w:hyperlink>
    </w:p>
    <w:p w:rsidR="005632D0" w:rsidRDefault="00510665" w14:paraId="16881559" w14:textId="2DE2C61E">
      <w:pPr>
        <w:pStyle w:val="TOC2"/>
        <w:rPr>
          <w:rFonts w:asciiTheme="minorHAnsi" w:hAnsiTheme="minorHAnsi" w:eastAsiaTheme="minorEastAsia" w:cstheme="minorBidi"/>
          <w:noProof/>
          <w:sz w:val="22"/>
          <w:szCs w:val="22"/>
        </w:rPr>
      </w:pPr>
      <w:hyperlink w:history="1" w:anchor="_Toc119238978">
        <w:r w:rsidRPr="003B7A92" w:rsidR="005632D0">
          <w:rPr>
            <w:rStyle w:val="Hyperlink"/>
            <w:noProof/>
          </w:rPr>
          <w:t>17.6</w:t>
        </w:r>
        <w:r w:rsidR="005632D0">
          <w:rPr>
            <w:rFonts w:asciiTheme="minorHAnsi" w:hAnsiTheme="minorHAnsi" w:eastAsiaTheme="minorEastAsia" w:cstheme="minorBidi"/>
            <w:noProof/>
            <w:sz w:val="22"/>
            <w:szCs w:val="22"/>
          </w:rPr>
          <w:tab/>
        </w:r>
        <w:r w:rsidRPr="003B7A92" w:rsidR="005632D0">
          <w:rPr>
            <w:rStyle w:val="Hyperlink"/>
            <w:noProof/>
          </w:rPr>
          <w:t>Amounts Owed</w:t>
        </w:r>
        <w:r w:rsidR="005632D0">
          <w:rPr>
            <w:noProof/>
            <w:webHidden/>
          </w:rPr>
          <w:tab/>
        </w:r>
        <w:r w:rsidR="005632D0">
          <w:rPr>
            <w:noProof/>
            <w:webHidden/>
          </w:rPr>
          <w:fldChar w:fldCharType="begin"/>
        </w:r>
        <w:r w:rsidR="005632D0">
          <w:rPr>
            <w:noProof/>
            <w:webHidden/>
          </w:rPr>
          <w:instrText xml:space="preserve"> PAGEREF _Toc119238978 \h </w:instrText>
        </w:r>
        <w:r w:rsidR="005632D0">
          <w:rPr>
            <w:noProof/>
            <w:webHidden/>
          </w:rPr>
        </w:r>
        <w:r w:rsidR="005632D0">
          <w:rPr>
            <w:noProof/>
            <w:webHidden/>
          </w:rPr>
          <w:fldChar w:fldCharType="separate"/>
        </w:r>
        <w:r w:rsidR="005632D0">
          <w:rPr>
            <w:noProof/>
            <w:webHidden/>
          </w:rPr>
          <w:t>42</w:t>
        </w:r>
        <w:r w:rsidR="005632D0">
          <w:rPr>
            <w:noProof/>
            <w:webHidden/>
          </w:rPr>
          <w:fldChar w:fldCharType="end"/>
        </w:r>
      </w:hyperlink>
    </w:p>
    <w:p w:rsidR="005632D0" w:rsidRDefault="00510665" w14:paraId="7DA7B778" w14:textId="28B91E31">
      <w:pPr>
        <w:pStyle w:val="TOC1"/>
        <w:rPr>
          <w:rFonts w:asciiTheme="minorHAnsi" w:hAnsiTheme="minorHAnsi" w:eastAsiaTheme="minorEastAsia" w:cstheme="minorBidi"/>
          <w:b w:val="0"/>
          <w:noProof/>
          <w:sz w:val="22"/>
          <w:szCs w:val="22"/>
        </w:rPr>
      </w:pPr>
      <w:hyperlink w:history="1" w:anchor="_Toc119238979">
        <w:r w:rsidRPr="003B7A92" w:rsidR="005632D0">
          <w:rPr>
            <w:rStyle w:val="Hyperlink"/>
            <w:noProof/>
          </w:rPr>
          <w:t>Article 18 – Lender Provisions</w:t>
        </w:r>
        <w:r w:rsidR="005632D0">
          <w:rPr>
            <w:noProof/>
            <w:webHidden/>
          </w:rPr>
          <w:tab/>
        </w:r>
        <w:r w:rsidR="005632D0">
          <w:rPr>
            <w:noProof/>
            <w:webHidden/>
          </w:rPr>
          <w:fldChar w:fldCharType="begin"/>
        </w:r>
        <w:r w:rsidR="005632D0">
          <w:rPr>
            <w:noProof/>
            <w:webHidden/>
          </w:rPr>
          <w:instrText xml:space="preserve"> PAGEREF _Toc119238979 \h </w:instrText>
        </w:r>
        <w:r w:rsidR="005632D0">
          <w:rPr>
            <w:noProof/>
            <w:webHidden/>
          </w:rPr>
        </w:r>
        <w:r w:rsidR="005632D0">
          <w:rPr>
            <w:noProof/>
            <w:webHidden/>
          </w:rPr>
          <w:fldChar w:fldCharType="separate"/>
        </w:r>
        <w:r w:rsidR="005632D0">
          <w:rPr>
            <w:noProof/>
            <w:webHidden/>
          </w:rPr>
          <w:t>42</w:t>
        </w:r>
        <w:r w:rsidR="005632D0">
          <w:rPr>
            <w:noProof/>
            <w:webHidden/>
          </w:rPr>
          <w:fldChar w:fldCharType="end"/>
        </w:r>
      </w:hyperlink>
    </w:p>
    <w:p w:rsidR="005632D0" w:rsidRDefault="00510665" w14:paraId="26366304" w14:textId="0AE85157">
      <w:pPr>
        <w:pStyle w:val="TOC2"/>
        <w:rPr>
          <w:rFonts w:asciiTheme="minorHAnsi" w:hAnsiTheme="minorHAnsi" w:eastAsiaTheme="minorEastAsia" w:cstheme="minorBidi"/>
          <w:noProof/>
          <w:sz w:val="22"/>
          <w:szCs w:val="22"/>
        </w:rPr>
      </w:pPr>
      <w:hyperlink w:history="1" w:anchor="_Toc119238980">
        <w:r w:rsidRPr="003B7A92" w:rsidR="005632D0">
          <w:rPr>
            <w:rStyle w:val="Hyperlink"/>
            <w:noProof/>
          </w:rPr>
          <w:t>18.1</w:t>
        </w:r>
        <w:r w:rsidR="005632D0">
          <w:rPr>
            <w:rFonts w:asciiTheme="minorHAnsi" w:hAnsiTheme="minorHAnsi" w:eastAsiaTheme="minorEastAsia" w:cstheme="minorBidi"/>
            <w:noProof/>
            <w:sz w:val="22"/>
            <w:szCs w:val="22"/>
          </w:rPr>
          <w:tab/>
        </w:r>
        <w:r w:rsidRPr="003B7A92" w:rsidR="005632D0">
          <w:rPr>
            <w:rStyle w:val="Hyperlink"/>
            <w:noProof/>
          </w:rPr>
          <w:t>Accommodation of Facility Lender</w:t>
        </w:r>
        <w:r w:rsidR="005632D0">
          <w:rPr>
            <w:noProof/>
            <w:webHidden/>
          </w:rPr>
          <w:tab/>
        </w:r>
        <w:r w:rsidR="005632D0">
          <w:rPr>
            <w:noProof/>
            <w:webHidden/>
          </w:rPr>
          <w:fldChar w:fldCharType="begin"/>
        </w:r>
        <w:r w:rsidR="005632D0">
          <w:rPr>
            <w:noProof/>
            <w:webHidden/>
          </w:rPr>
          <w:instrText xml:space="preserve"> PAGEREF _Toc119238980 \h </w:instrText>
        </w:r>
        <w:r w:rsidR="005632D0">
          <w:rPr>
            <w:noProof/>
            <w:webHidden/>
          </w:rPr>
        </w:r>
        <w:r w:rsidR="005632D0">
          <w:rPr>
            <w:noProof/>
            <w:webHidden/>
          </w:rPr>
          <w:fldChar w:fldCharType="separate"/>
        </w:r>
        <w:r w:rsidR="005632D0">
          <w:rPr>
            <w:noProof/>
            <w:webHidden/>
          </w:rPr>
          <w:t>42</w:t>
        </w:r>
        <w:r w:rsidR="005632D0">
          <w:rPr>
            <w:noProof/>
            <w:webHidden/>
          </w:rPr>
          <w:fldChar w:fldCharType="end"/>
        </w:r>
      </w:hyperlink>
    </w:p>
    <w:p w:rsidR="005632D0" w:rsidRDefault="00510665" w14:paraId="0F816400" w14:textId="03FBB3A6">
      <w:pPr>
        <w:pStyle w:val="TOC2"/>
        <w:rPr>
          <w:rFonts w:asciiTheme="minorHAnsi" w:hAnsiTheme="minorHAnsi" w:eastAsiaTheme="minorEastAsia" w:cstheme="minorBidi"/>
          <w:noProof/>
          <w:sz w:val="22"/>
          <w:szCs w:val="22"/>
        </w:rPr>
      </w:pPr>
      <w:hyperlink w:history="1" w:anchor="_Toc119238981">
        <w:r w:rsidRPr="003B7A92" w:rsidR="005632D0">
          <w:rPr>
            <w:rStyle w:val="Hyperlink"/>
            <w:noProof/>
          </w:rPr>
          <w:t>18.2</w:t>
        </w:r>
        <w:r w:rsidR="005632D0">
          <w:rPr>
            <w:rFonts w:asciiTheme="minorHAnsi" w:hAnsiTheme="minorHAnsi" w:eastAsiaTheme="minorEastAsia" w:cstheme="minorBidi"/>
            <w:noProof/>
            <w:sz w:val="22"/>
            <w:szCs w:val="22"/>
          </w:rPr>
          <w:tab/>
        </w:r>
        <w:r w:rsidRPr="003B7A92" w:rsidR="005632D0">
          <w:rPr>
            <w:rStyle w:val="Hyperlink"/>
            <w:noProof/>
          </w:rPr>
          <w:t>Notices</w:t>
        </w:r>
        <w:r w:rsidR="005632D0">
          <w:rPr>
            <w:noProof/>
            <w:webHidden/>
          </w:rPr>
          <w:tab/>
        </w:r>
        <w:r w:rsidR="005632D0">
          <w:rPr>
            <w:noProof/>
            <w:webHidden/>
          </w:rPr>
          <w:fldChar w:fldCharType="begin"/>
        </w:r>
        <w:r w:rsidR="005632D0">
          <w:rPr>
            <w:noProof/>
            <w:webHidden/>
          </w:rPr>
          <w:instrText xml:space="preserve"> PAGEREF _Toc119238981 \h </w:instrText>
        </w:r>
        <w:r w:rsidR="005632D0">
          <w:rPr>
            <w:noProof/>
            <w:webHidden/>
          </w:rPr>
        </w:r>
        <w:r w:rsidR="005632D0">
          <w:rPr>
            <w:noProof/>
            <w:webHidden/>
          </w:rPr>
          <w:fldChar w:fldCharType="separate"/>
        </w:r>
        <w:r w:rsidR="005632D0">
          <w:rPr>
            <w:noProof/>
            <w:webHidden/>
          </w:rPr>
          <w:t>42</w:t>
        </w:r>
        <w:r w:rsidR="005632D0">
          <w:rPr>
            <w:noProof/>
            <w:webHidden/>
          </w:rPr>
          <w:fldChar w:fldCharType="end"/>
        </w:r>
      </w:hyperlink>
    </w:p>
    <w:p w:rsidR="005632D0" w:rsidRDefault="00510665" w14:paraId="71E61BC7" w14:textId="24600027">
      <w:pPr>
        <w:pStyle w:val="TOC1"/>
        <w:rPr>
          <w:rFonts w:asciiTheme="minorHAnsi" w:hAnsiTheme="minorHAnsi" w:eastAsiaTheme="minorEastAsia" w:cstheme="minorBidi"/>
          <w:b w:val="0"/>
          <w:noProof/>
          <w:sz w:val="22"/>
          <w:szCs w:val="22"/>
        </w:rPr>
      </w:pPr>
      <w:hyperlink w:history="1" w:anchor="_Toc119238982">
        <w:r w:rsidRPr="003B7A92" w:rsidR="005632D0">
          <w:rPr>
            <w:rStyle w:val="Hyperlink"/>
            <w:noProof/>
          </w:rPr>
          <w:t>Article 19 - Assignment</w:t>
        </w:r>
        <w:r w:rsidR="005632D0">
          <w:rPr>
            <w:noProof/>
            <w:webHidden/>
          </w:rPr>
          <w:tab/>
        </w:r>
        <w:r w:rsidR="005632D0">
          <w:rPr>
            <w:noProof/>
            <w:webHidden/>
          </w:rPr>
          <w:fldChar w:fldCharType="begin"/>
        </w:r>
        <w:r w:rsidR="005632D0">
          <w:rPr>
            <w:noProof/>
            <w:webHidden/>
          </w:rPr>
          <w:instrText xml:space="preserve"> PAGEREF _Toc119238982 \h </w:instrText>
        </w:r>
        <w:r w:rsidR="005632D0">
          <w:rPr>
            <w:noProof/>
            <w:webHidden/>
          </w:rPr>
        </w:r>
        <w:r w:rsidR="005632D0">
          <w:rPr>
            <w:noProof/>
            <w:webHidden/>
          </w:rPr>
          <w:fldChar w:fldCharType="separate"/>
        </w:r>
        <w:r w:rsidR="005632D0">
          <w:rPr>
            <w:noProof/>
            <w:webHidden/>
          </w:rPr>
          <w:t>43</w:t>
        </w:r>
        <w:r w:rsidR="005632D0">
          <w:rPr>
            <w:noProof/>
            <w:webHidden/>
          </w:rPr>
          <w:fldChar w:fldCharType="end"/>
        </w:r>
      </w:hyperlink>
    </w:p>
    <w:p w:rsidR="005632D0" w:rsidRDefault="00510665" w14:paraId="23C4A1F2" w14:textId="426D97B2">
      <w:pPr>
        <w:pStyle w:val="TOC2"/>
        <w:rPr>
          <w:rFonts w:asciiTheme="minorHAnsi" w:hAnsiTheme="minorHAnsi" w:eastAsiaTheme="minorEastAsia" w:cstheme="minorBidi"/>
          <w:noProof/>
          <w:sz w:val="22"/>
          <w:szCs w:val="22"/>
        </w:rPr>
      </w:pPr>
      <w:hyperlink w:history="1" w:anchor="_Toc119238983">
        <w:r w:rsidRPr="003B7A92" w:rsidR="005632D0">
          <w:rPr>
            <w:rStyle w:val="Hyperlink"/>
            <w:noProof/>
          </w:rPr>
          <w:t>19.1</w:t>
        </w:r>
        <w:r w:rsidR="005632D0">
          <w:rPr>
            <w:rFonts w:asciiTheme="minorHAnsi" w:hAnsiTheme="minorHAnsi" w:eastAsiaTheme="minorEastAsia" w:cstheme="minorBidi"/>
            <w:noProof/>
            <w:sz w:val="22"/>
            <w:szCs w:val="22"/>
          </w:rPr>
          <w:tab/>
        </w:r>
        <w:r w:rsidRPr="003B7A92" w:rsidR="005632D0">
          <w:rPr>
            <w:rStyle w:val="Hyperlink"/>
            <w:noProof/>
          </w:rPr>
          <w:t>Assignment by Seller</w:t>
        </w:r>
        <w:r w:rsidR="005632D0">
          <w:rPr>
            <w:noProof/>
            <w:webHidden/>
          </w:rPr>
          <w:tab/>
        </w:r>
        <w:r w:rsidR="005632D0">
          <w:rPr>
            <w:noProof/>
            <w:webHidden/>
          </w:rPr>
          <w:fldChar w:fldCharType="begin"/>
        </w:r>
        <w:r w:rsidR="005632D0">
          <w:rPr>
            <w:noProof/>
            <w:webHidden/>
          </w:rPr>
          <w:instrText xml:space="preserve"> PAGEREF _Toc119238983 \h </w:instrText>
        </w:r>
        <w:r w:rsidR="005632D0">
          <w:rPr>
            <w:noProof/>
            <w:webHidden/>
          </w:rPr>
        </w:r>
        <w:r w:rsidR="005632D0">
          <w:rPr>
            <w:noProof/>
            <w:webHidden/>
          </w:rPr>
          <w:fldChar w:fldCharType="separate"/>
        </w:r>
        <w:r w:rsidR="005632D0">
          <w:rPr>
            <w:noProof/>
            <w:webHidden/>
          </w:rPr>
          <w:t>43</w:t>
        </w:r>
        <w:r w:rsidR="005632D0">
          <w:rPr>
            <w:noProof/>
            <w:webHidden/>
          </w:rPr>
          <w:fldChar w:fldCharType="end"/>
        </w:r>
      </w:hyperlink>
    </w:p>
    <w:p w:rsidR="005632D0" w:rsidRDefault="00510665" w14:paraId="4985961B" w14:textId="145D3502">
      <w:pPr>
        <w:pStyle w:val="TOC2"/>
        <w:rPr>
          <w:rFonts w:asciiTheme="minorHAnsi" w:hAnsiTheme="minorHAnsi" w:eastAsiaTheme="minorEastAsia" w:cstheme="minorBidi"/>
          <w:noProof/>
          <w:sz w:val="22"/>
          <w:szCs w:val="22"/>
        </w:rPr>
      </w:pPr>
      <w:hyperlink w:history="1" w:anchor="_Toc119238984">
        <w:r w:rsidRPr="003B7A92" w:rsidR="005632D0">
          <w:rPr>
            <w:rStyle w:val="Hyperlink"/>
            <w:noProof/>
          </w:rPr>
          <w:t>19.2</w:t>
        </w:r>
        <w:r w:rsidR="005632D0">
          <w:rPr>
            <w:rFonts w:asciiTheme="minorHAnsi" w:hAnsiTheme="minorHAnsi" w:eastAsiaTheme="minorEastAsia" w:cstheme="minorBidi"/>
            <w:noProof/>
            <w:sz w:val="22"/>
            <w:szCs w:val="22"/>
          </w:rPr>
          <w:tab/>
        </w:r>
        <w:r w:rsidRPr="003B7A92" w:rsidR="005632D0">
          <w:rPr>
            <w:rStyle w:val="Hyperlink"/>
            <w:noProof/>
          </w:rPr>
          <w:t>Assignment by Company</w:t>
        </w:r>
        <w:r w:rsidR="005632D0">
          <w:rPr>
            <w:noProof/>
            <w:webHidden/>
          </w:rPr>
          <w:tab/>
        </w:r>
        <w:r w:rsidR="005632D0">
          <w:rPr>
            <w:noProof/>
            <w:webHidden/>
          </w:rPr>
          <w:fldChar w:fldCharType="begin"/>
        </w:r>
        <w:r w:rsidR="005632D0">
          <w:rPr>
            <w:noProof/>
            <w:webHidden/>
          </w:rPr>
          <w:instrText xml:space="preserve"> PAGEREF _Toc119238984 \h </w:instrText>
        </w:r>
        <w:r w:rsidR="005632D0">
          <w:rPr>
            <w:noProof/>
            <w:webHidden/>
          </w:rPr>
        </w:r>
        <w:r w:rsidR="005632D0">
          <w:rPr>
            <w:noProof/>
            <w:webHidden/>
          </w:rPr>
          <w:fldChar w:fldCharType="separate"/>
        </w:r>
        <w:r w:rsidR="005632D0">
          <w:rPr>
            <w:noProof/>
            <w:webHidden/>
          </w:rPr>
          <w:t>44</w:t>
        </w:r>
        <w:r w:rsidR="005632D0">
          <w:rPr>
            <w:noProof/>
            <w:webHidden/>
          </w:rPr>
          <w:fldChar w:fldCharType="end"/>
        </w:r>
      </w:hyperlink>
    </w:p>
    <w:p w:rsidR="005632D0" w:rsidRDefault="00510665" w14:paraId="24DC77CE" w14:textId="0ED42466">
      <w:pPr>
        <w:pStyle w:val="TOC2"/>
        <w:rPr>
          <w:rFonts w:asciiTheme="minorHAnsi" w:hAnsiTheme="minorHAnsi" w:eastAsiaTheme="minorEastAsia" w:cstheme="minorBidi"/>
          <w:noProof/>
          <w:sz w:val="22"/>
          <w:szCs w:val="22"/>
        </w:rPr>
      </w:pPr>
      <w:hyperlink w:history="1" w:anchor="_Toc119238985">
        <w:r w:rsidRPr="003B7A92" w:rsidR="005632D0">
          <w:rPr>
            <w:rStyle w:val="Hyperlink"/>
            <w:noProof/>
          </w:rPr>
          <w:t>19.3</w:t>
        </w:r>
        <w:r w:rsidR="005632D0">
          <w:rPr>
            <w:rFonts w:asciiTheme="minorHAnsi" w:hAnsiTheme="minorHAnsi" w:eastAsiaTheme="minorEastAsia" w:cstheme="minorBidi"/>
            <w:noProof/>
            <w:sz w:val="22"/>
            <w:szCs w:val="22"/>
          </w:rPr>
          <w:tab/>
        </w:r>
        <w:r w:rsidRPr="003B7A92" w:rsidR="005632D0">
          <w:rPr>
            <w:rStyle w:val="Hyperlink"/>
            <w:noProof/>
          </w:rPr>
          <w:t>Right of First Offer (ROFO)</w:t>
        </w:r>
        <w:r w:rsidR="005632D0">
          <w:rPr>
            <w:noProof/>
            <w:webHidden/>
          </w:rPr>
          <w:tab/>
        </w:r>
        <w:r w:rsidR="005632D0">
          <w:rPr>
            <w:noProof/>
            <w:webHidden/>
          </w:rPr>
          <w:fldChar w:fldCharType="begin"/>
        </w:r>
        <w:r w:rsidR="005632D0">
          <w:rPr>
            <w:noProof/>
            <w:webHidden/>
          </w:rPr>
          <w:instrText xml:space="preserve"> PAGEREF _Toc119238985 \h </w:instrText>
        </w:r>
        <w:r w:rsidR="005632D0">
          <w:rPr>
            <w:noProof/>
            <w:webHidden/>
          </w:rPr>
        </w:r>
        <w:r w:rsidR="005632D0">
          <w:rPr>
            <w:noProof/>
            <w:webHidden/>
          </w:rPr>
          <w:fldChar w:fldCharType="separate"/>
        </w:r>
        <w:r w:rsidR="005632D0">
          <w:rPr>
            <w:noProof/>
            <w:webHidden/>
          </w:rPr>
          <w:t>44</w:t>
        </w:r>
        <w:r w:rsidR="005632D0">
          <w:rPr>
            <w:noProof/>
            <w:webHidden/>
          </w:rPr>
          <w:fldChar w:fldCharType="end"/>
        </w:r>
      </w:hyperlink>
    </w:p>
    <w:p w:rsidR="005632D0" w:rsidRDefault="00510665" w14:paraId="38ECE630" w14:textId="342B6A02">
      <w:pPr>
        <w:pStyle w:val="TOC2"/>
        <w:rPr>
          <w:rFonts w:asciiTheme="minorHAnsi" w:hAnsiTheme="minorHAnsi" w:eastAsiaTheme="minorEastAsia" w:cstheme="minorBidi"/>
          <w:noProof/>
          <w:sz w:val="22"/>
          <w:szCs w:val="22"/>
        </w:rPr>
      </w:pPr>
      <w:hyperlink w:history="1" w:anchor="_Toc119238986">
        <w:r w:rsidRPr="003B7A92" w:rsidR="005632D0">
          <w:rPr>
            <w:rStyle w:val="Hyperlink"/>
            <w:noProof/>
          </w:rPr>
          <w:t>19.4</w:t>
        </w:r>
        <w:r w:rsidR="005632D0">
          <w:rPr>
            <w:rFonts w:asciiTheme="minorHAnsi" w:hAnsiTheme="minorHAnsi" w:eastAsiaTheme="minorEastAsia" w:cstheme="minorBidi"/>
            <w:noProof/>
            <w:sz w:val="22"/>
            <w:szCs w:val="22"/>
          </w:rPr>
          <w:tab/>
        </w:r>
        <w:r w:rsidRPr="003B7A92" w:rsidR="005632D0">
          <w:rPr>
            <w:rStyle w:val="Hyperlink"/>
            <w:noProof/>
          </w:rPr>
          <w:t>PFT</w:t>
        </w:r>
        <w:r w:rsidR="005632D0">
          <w:rPr>
            <w:noProof/>
            <w:webHidden/>
          </w:rPr>
          <w:tab/>
        </w:r>
        <w:r w:rsidR="005632D0">
          <w:rPr>
            <w:noProof/>
            <w:webHidden/>
          </w:rPr>
          <w:fldChar w:fldCharType="begin"/>
        </w:r>
        <w:r w:rsidR="005632D0">
          <w:rPr>
            <w:noProof/>
            <w:webHidden/>
          </w:rPr>
          <w:instrText xml:space="preserve"> PAGEREF _Toc119238986 \h </w:instrText>
        </w:r>
        <w:r w:rsidR="005632D0">
          <w:rPr>
            <w:noProof/>
            <w:webHidden/>
          </w:rPr>
        </w:r>
        <w:r w:rsidR="005632D0">
          <w:rPr>
            <w:noProof/>
            <w:webHidden/>
          </w:rPr>
          <w:fldChar w:fldCharType="separate"/>
        </w:r>
        <w:r w:rsidR="005632D0">
          <w:rPr>
            <w:noProof/>
            <w:webHidden/>
          </w:rPr>
          <w:t>45</w:t>
        </w:r>
        <w:r w:rsidR="005632D0">
          <w:rPr>
            <w:noProof/>
            <w:webHidden/>
          </w:rPr>
          <w:fldChar w:fldCharType="end"/>
        </w:r>
      </w:hyperlink>
    </w:p>
    <w:p w:rsidR="005632D0" w:rsidRDefault="00510665" w14:paraId="73479CCC" w14:textId="6B25BEA3">
      <w:pPr>
        <w:pStyle w:val="TOC2"/>
        <w:rPr>
          <w:rFonts w:asciiTheme="minorHAnsi" w:hAnsiTheme="minorHAnsi" w:eastAsiaTheme="minorEastAsia" w:cstheme="minorBidi"/>
          <w:noProof/>
          <w:sz w:val="22"/>
          <w:szCs w:val="22"/>
        </w:rPr>
      </w:pPr>
      <w:hyperlink w:history="1" w:anchor="_Toc119238987">
        <w:r w:rsidRPr="003B7A92" w:rsidR="005632D0">
          <w:rPr>
            <w:rStyle w:val="Hyperlink"/>
            <w:noProof/>
          </w:rPr>
          <w:t>19.5</w:t>
        </w:r>
        <w:r w:rsidR="005632D0">
          <w:rPr>
            <w:rFonts w:asciiTheme="minorHAnsi" w:hAnsiTheme="minorHAnsi" w:eastAsiaTheme="minorEastAsia" w:cstheme="minorBidi"/>
            <w:noProof/>
            <w:sz w:val="22"/>
            <w:szCs w:val="22"/>
          </w:rPr>
          <w:tab/>
        </w:r>
        <w:r w:rsidRPr="003B7A92" w:rsidR="005632D0">
          <w:rPr>
            <w:rStyle w:val="Hyperlink"/>
            <w:noProof/>
          </w:rPr>
          <w:t>Memo of Option</w:t>
        </w:r>
        <w:r w:rsidR="005632D0">
          <w:rPr>
            <w:noProof/>
            <w:webHidden/>
          </w:rPr>
          <w:tab/>
        </w:r>
        <w:r w:rsidR="005632D0">
          <w:rPr>
            <w:noProof/>
            <w:webHidden/>
          </w:rPr>
          <w:fldChar w:fldCharType="begin"/>
        </w:r>
        <w:r w:rsidR="005632D0">
          <w:rPr>
            <w:noProof/>
            <w:webHidden/>
          </w:rPr>
          <w:instrText xml:space="preserve"> PAGEREF _Toc119238987 \h </w:instrText>
        </w:r>
        <w:r w:rsidR="005632D0">
          <w:rPr>
            <w:noProof/>
            <w:webHidden/>
          </w:rPr>
        </w:r>
        <w:r w:rsidR="005632D0">
          <w:rPr>
            <w:noProof/>
            <w:webHidden/>
          </w:rPr>
          <w:fldChar w:fldCharType="separate"/>
        </w:r>
        <w:r w:rsidR="005632D0">
          <w:rPr>
            <w:noProof/>
            <w:webHidden/>
          </w:rPr>
          <w:t>46</w:t>
        </w:r>
        <w:r w:rsidR="005632D0">
          <w:rPr>
            <w:noProof/>
            <w:webHidden/>
          </w:rPr>
          <w:fldChar w:fldCharType="end"/>
        </w:r>
      </w:hyperlink>
    </w:p>
    <w:p w:rsidR="005632D0" w:rsidRDefault="00510665" w14:paraId="1D572464" w14:textId="18D874FC">
      <w:pPr>
        <w:pStyle w:val="TOC1"/>
        <w:rPr>
          <w:rFonts w:asciiTheme="minorHAnsi" w:hAnsiTheme="minorHAnsi" w:eastAsiaTheme="minorEastAsia" w:cstheme="minorBidi"/>
          <w:b w:val="0"/>
          <w:noProof/>
          <w:sz w:val="22"/>
          <w:szCs w:val="22"/>
        </w:rPr>
      </w:pPr>
      <w:hyperlink w:history="1" w:anchor="_Toc119238988">
        <w:r w:rsidRPr="003B7A92" w:rsidR="005632D0">
          <w:rPr>
            <w:rStyle w:val="Hyperlink"/>
            <w:noProof/>
          </w:rPr>
          <w:t>Article 20 - Miscellaneous</w:t>
        </w:r>
        <w:r w:rsidR="005632D0">
          <w:rPr>
            <w:noProof/>
            <w:webHidden/>
          </w:rPr>
          <w:tab/>
        </w:r>
        <w:r w:rsidR="005632D0">
          <w:rPr>
            <w:noProof/>
            <w:webHidden/>
          </w:rPr>
          <w:fldChar w:fldCharType="begin"/>
        </w:r>
        <w:r w:rsidR="005632D0">
          <w:rPr>
            <w:noProof/>
            <w:webHidden/>
          </w:rPr>
          <w:instrText xml:space="preserve"> PAGEREF _Toc119238988 \h </w:instrText>
        </w:r>
        <w:r w:rsidR="005632D0">
          <w:rPr>
            <w:noProof/>
            <w:webHidden/>
          </w:rPr>
        </w:r>
        <w:r w:rsidR="005632D0">
          <w:rPr>
            <w:noProof/>
            <w:webHidden/>
          </w:rPr>
          <w:fldChar w:fldCharType="separate"/>
        </w:r>
        <w:r w:rsidR="005632D0">
          <w:rPr>
            <w:noProof/>
            <w:webHidden/>
          </w:rPr>
          <w:t>46</w:t>
        </w:r>
        <w:r w:rsidR="005632D0">
          <w:rPr>
            <w:noProof/>
            <w:webHidden/>
          </w:rPr>
          <w:fldChar w:fldCharType="end"/>
        </w:r>
      </w:hyperlink>
    </w:p>
    <w:p w:rsidR="005632D0" w:rsidRDefault="00510665" w14:paraId="331BC18F" w14:textId="487D4969">
      <w:pPr>
        <w:pStyle w:val="TOC2"/>
        <w:rPr>
          <w:rFonts w:asciiTheme="minorHAnsi" w:hAnsiTheme="minorHAnsi" w:eastAsiaTheme="minorEastAsia" w:cstheme="minorBidi"/>
          <w:noProof/>
          <w:sz w:val="22"/>
          <w:szCs w:val="22"/>
        </w:rPr>
      </w:pPr>
      <w:hyperlink w:history="1" w:anchor="_Toc119238989">
        <w:r w:rsidRPr="003B7A92" w:rsidR="005632D0">
          <w:rPr>
            <w:rStyle w:val="Hyperlink"/>
            <w:noProof/>
          </w:rPr>
          <w:t>20.1</w:t>
        </w:r>
        <w:r w:rsidR="005632D0">
          <w:rPr>
            <w:rFonts w:asciiTheme="minorHAnsi" w:hAnsiTheme="minorHAnsi" w:eastAsiaTheme="minorEastAsia" w:cstheme="minorBidi"/>
            <w:noProof/>
            <w:sz w:val="22"/>
            <w:szCs w:val="22"/>
          </w:rPr>
          <w:tab/>
        </w:r>
        <w:r w:rsidRPr="003B7A92" w:rsidR="005632D0">
          <w:rPr>
            <w:rStyle w:val="Hyperlink"/>
            <w:noProof/>
          </w:rPr>
          <w:t>Notices</w:t>
        </w:r>
        <w:r w:rsidR="005632D0">
          <w:rPr>
            <w:noProof/>
            <w:webHidden/>
          </w:rPr>
          <w:tab/>
        </w:r>
        <w:r w:rsidR="005632D0">
          <w:rPr>
            <w:noProof/>
            <w:webHidden/>
          </w:rPr>
          <w:fldChar w:fldCharType="begin"/>
        </w:r>
        <w:r w:rsidR="005632D0">
          <w:rPr>
            <w:noProof/>
            <w:webHidden/>
          </w:rPr>
          <w:instrText xml:space="preserve"> PAGEREF _Toc119238989 \h </w:instrText>
        </w:r>
        <w:r w:rsidR="005632D0">
          <w:rPr>
            <w:noProof/>
            <w:webHidden/>
          </w:rPr>
        </w:r>
        <w:r w:rsidR="005632D0">
          <w:rPr>
            <w:noProof/>
            <w:webHidden/>
          </w:rPr>
          <w:fldChar w:fldCharType="separate"/>
        </w:r>
        <w:r w:rsidR="005632D0">
          <w:rPr>
            <w:noProof/>
            <w:webHidden/>
          </w:rPr>
          <w:t>46</w:t>
        </w:r>
        <w:r w:rsidR="005632D0">
          <w:rPr>
            <w:noProof/>
            <w:webHidden/>
          </w:rPr>
          <w:fldChar w:fldCharType="end"/>
        </w:r>
      </w:hyperlink>
    </w:p>
    <w:p w:rsidR="005632D0" w:rsidRDefault="00510665" w14:paraId="4ADD4B63" w14:textId="7360A6BB">
      <w:pPr>
        <w:pStyle w:val="TOC2"/>
        <w:rPr>
          <w:rFonts w:asciiTheme="minorHAnsi" w:hAnsiTheme="minorHAnsi" w:eastAsiaTheme="minorEastAsia" w:cstheme="minorBidi"/>
          <w:noProof/>
          <w:sz w:val="22"/>
          <w:szCs w:val="22"/>
        </w:rPr>
      </w:pPr>
      <w:hyperlink w:history="1" w:anchor="_Toc119238990">
        <w:r w:rsidRPr="003B7A92" w:rsidR="005632D0">
          <w:rPr>
            <w:rStyle w:val="Hyperlink"/>
            <w:noProof/>
          </w:rPr>
          <w:t>20.2</w:t>
        </w:r>
        <w:r w:rsidR="005632D0">
          <w:rPr>
            <w:rFonts w:asciiTheme="minorHAnsi" w:hAnsiTheme="minorHAnsi" w:eastAsiaTheme="minorEastAsia" w:cstheme="minorBidi"/>
            <w:noProof/>
            <w:sz w:val="22"/>
            <w:szCs w:val="22"/>
          </w:rPr>
          <w:tab/>
        </w:r>
        <w:r w:rsidRPr="003B7A92" w:rsidR="005632D0">
          <w:rPr>
            <w:rStyle w:val="Hyperlink"/>
            <w:noProof/>
          </w:rPr>
          <w:t>Taxes and Tax Incentives</w:t>
        </w:r>
        <w:r w:rsidR="005632D0">
          <w:rPr>
            <w:noProof/>
            <w:webHidden/>
          </w:rPr>
          <w:tab/>
        </w:r>
        <w:r w:rsidR="005632D0">
          <w:rPr>
            <w:noProof/>
            <w:webHidden/>
          </w:rPr>
          <w:fldChar w:fldCharType="begin"/>
        </w:r>
        <w:r w:rsidR="005632D0">
          <w:rPr>
            <w:noProof/>
            <w:webHidden/>
          </w:rPr>
          <w:instrText xml:space="preserve"> PAGEREF _Toc119238990 \h </w:instrText>
        </w:r>
        <w:r w:rsidR="005632D0">
          <w:rPr>
            <w:noProof/>
            <w:webHidden/>
          </w:rPr>
        </w:r>
        <w:r w:rsidR="005632D0">
          <w:rPr>
            <w:noProof/>
            <w:webHidden/>
          </w:rPr>
          <w:fldChar w:fldCharType="separate"/>
        </w:r>
        <w:r w:rsidR="005632D0">
          <w:rPr>
            <w:noProof/>
            <w:webHidden/>
          </w:rPr>
          <w:t>47</w:t>
        </w:r>
        <w:r w:rsidR="005632D0">
          <w:rPr>
            <w:noProof/>
            <w:webHidden/>
          </w:rPr>
          <w:fldChar w:fldCharType="end"/>
        </w:r>
      </w:hyperlink>
    </w:p>
    <w:p w:rsidR="005632D0" w:rsidRDefault="00510665" w14:paraId="26A1F6E6" w14:textId="104B54D7">
      <w:pPr>
        <w:pStyle w:val="TOC2"/>
        <w:rPr>
          <w:rFonts w:asciiTheme="minorHAnsi" w:hAnsiTheme="minorHAnsi" w:eastAsiaTheme="minorEastAsia" w:cstheme="minorBidi"/>
          <w:noProof/>
          <w:sz w:val="22"/>
          <w:szCs w:val="22"/>
        </w:rPr>
      </w:pPr>
      <w:hyperlink w:history="1" w:anchor="_Toc119238991">
        <w:r w:rsidRPr="003B7A92" w:rsidR="005632D0">
          <w:rPr>
            <w:rStyle w:val="Hyperlink"/>
            <w:noProof/>
          </w:rPr>
          <w:t>20.3</w:t>
        </w:r>
        <w:r w:rsidR="005632D0">
          <w:rPr>
            <w:rFonts w:asciiTheme="minorHAnsi" w:hAnsiTheme="minorHAnsi" w:eastAsiaTheme="minorEastAsia" w:cstheme="minorBidi"/>
            <w:noProof/>
            <w:sz w:val="22"/>
            <w:szCs w:val="22"/>
          </w:rPr>
          <w:tab/>
        </w:r>
        <w:r w:rsidRPr="003B7A92" w:rsidR="005632D0">
          <w:rPr>
            <w:rStyle w:val="Hyperlink"/>
            <w:noProof/>
          </w:rPr>
          <w:t>Applicable Laws</w:t>
        </w:r>
        <w:r w:rsidR="005632D0">
          <w:rPr>
            <w:noProof/>
            <w:webHidden/>
          </w:rPr>
          <w:tab/>
        </w:r>
        <w:r w:rsidR="005632D0">
          <w:rPr>
            <w:noProof/>
            <w:webHidden/>
          </w:rPr>
          <w:fldChar w:fldCharType="begin"/>
        </w:r>
        <w:r w:rsidR="005632D0">
          <w:rPr>
            <w:noProof/>
            <w:webHidden/>
          </w:rPr>
          <w:instrText xml:space="preserve"> PAGEREF _Toc119238991 \h </w:instrText>
        </w:r>
        <w:r w:rsidR="005632D0">
          <w:rPr>
            <w:noProof/>
            <w:webHidden/>
          </w:rPr>
        </w:r>
        <w:r w:rsidR="005632D0">
          <w:rPr>
            <w:noProof/>
            <w:webHidden/>
          </w:rPr>
          <w:fldChar w:fldCharType="separate"/>
        </w:r>
        <w:r w:rsidR="005632D0">
          <w:rPr>
            <w:noProof/>
            <w:webHidden/>
          </w:rPr>
          <w:t>48</w:t>
        </w:r>
        <w:r w:rsidR="005632D0">
          <w:rPr>
            <w:noProof/>
            <w:webHidden/>
          </w:rPr>
          <w:fldChar w:fldCharType="end"/>
        </w:r>
      </w:hyperlink>
    </w:p>
    <w:p w:rsidR="005632D0" w:rsidRDefault="00510665" w14:paraId="2E89988B" w14:textId="7A055717">
      <w:pPr>
        <w:pStyle w:val="TOC2"/>
        <w:rPr>
          <w:rFonts w:asciiTheme="minorHAnsi" w:hAnsiTheme="minorHAnsi" w:eastAsiaTheme="minorEastAsia" w:cstheme="minorBidi"/>
          <w:noProof/>
          <w:sz w:val="22"/>
          <w:szCs w:val="22"/>
        </w:rPr>
      </w:pPr>
      <w:hyperlink w:history="1" w:anchor="_Toc119238992">
        <w:r w:rsidRPr="003B7A92" w:rsidR="005632D0">
          <w:rPr>
            <w:rStyle w:val="Hyperlink"/>
            <w:noProof/>
          </w:rPr>
          <w:t>20.4</w:t>
        </w:r>
        <w:r w:rsidR="005632D0">
          <w:rPr>
            <w:rFonts w:asciiTheme="minorHAnsi" w:hAnsiTheme="minorHAnsi" w:eastAsiaTheme="minorEastAsia" w:cstheme="minorBidi"/>
            <w:noProof/>
            <w:sz w:val="22"/>
            <w:szCs w:val="22"/>
          </w:rPr>
          <w:tab/>
        </w:r>
        <w:r w:rsidRPr="003B7A92" w:rsidR="005632D0">
          <w:rPr>
            <w:rStyle w:val="Hyperlink"/>
            <w:noProof/>
          </w:rPr>
          <w:t>Fines and Penalties</w:t>
        </w:r>
        <w:r w:rsidR="005632D0">
          <w:rPr>
            <w:noProof/>
            <w:webHidden/>
          </w:rPr>
          <w:tab/>
        </w:r>
        <w:r w:rsidR="005632D0">
          <w:rPr>
            <w:noProof/>
            <w:webHidden/>
          </w:rPr>
          <w:fldChar w:fldCharType="begin"/>
        </w:r>
        <w:r w:rsidR="005632D0">
          <w:rPr>
            <w:noProof/>
            <w:webHidden/>
          </w:rPr>
          <w:instrText xml:space="preserve"> PAGEREF _Toc119238992 \h </w:instrText>
        </w:r>
        <w:r w:rsidR="005632D0">
          <w:rPr>
            <w:noProof/>
            <w:webHidden/>
          </w:rPr>
        </w:r>
        <w:r w:rsidR="005632D0">
          <w:rPr>
            <w:noProof/>
            <w:webHidden/>
          </w:rPr>
          <w:fldChar w:fldCharType="separate"/>
        </w:r>
        <w:r w:rsidR="005632D0">
          <w:rPr>
            <w:noProof/>
            <w:webHidden/>
          </w:rPr>
          <w:t>48</w:t>
        </w:r>
        <w:r w:rsidR="005632D0">
          <w:rPr>
            <w:noProof/>
            <w:webHidden/>
          </w:rPr>
          <w:fldChar w:fldCharType="end"/>
        </w:r>
      </w:hyperlink>
    </w:p>
    <w:p w:rsidR="005632D0" w:rsidRDefault="00510665" w14:paraId="6FADCECE" w14:textId="53E50BB8">
      <w:pPr>
        <w:pStyle w:val="TOC2"/>
        <w:rPr>
          <w:rFonts w:asciiTheme="minorHAnsi" w:hAnsiTheme="minorHAnsi" w:eastAsiaTheme="minorEastAsia" w:cstheme="minorBidi"/>
          <w:noProof/>
          <w:sz w:val="22"/>
          <w:szCs w:val="22"/>
        </w:rPr>
      </w:pPr>
      <w:hyperlink w:history="1" w:anchor="_Toc119238993">
        <w:r w:rsidRPr="003B7A92" w:rsidR="005632D0">
          <w:rPr>
            <w:rStyle w:val="Hyperlink"/>
            <w:noProof/>
          </w:rPr>
          <w:t>20.5</w:t>
        </w:r>
        <w:r w:rsidR="005632D0">
          <w:rPr>
            <w:rFonts w:asciiTheme="minorHAnsi" w:hAnsiTheme="minorHAnsi" w:eastAsiaTheme="minorEastAsia" w:cstheme="minorBidi"/>
            <w:noProof/>
            <w:sz w:val="22"/>
            <w:szCs w:val="22"/>
          </w:rPr>
          <w:tab/>
        </w:r>
        <w:r w:rsidRPr="003B7A92" w:rsidR="005632D0">
          <w:rPr>
            <w:rStyle w:val="Hyperlink"/>
            <w:noProof/>
          </w:rPr>
          <w:t>Rate Changes</w:t>
        </w:r>
        <w:r w:rsidR="005632D0">
          <w:rPr>
            <w:noProof/>
            <w:webHidden/>
          </w:rPr>
          <w:tab/>
        </w:r>
        <w:r w:rsidR="005632D0">
          <w:rPr>
            <w:noProof/>
            <w:webHidden/>
          </w:rPr>
          <w:fldChar w:fldCharType="begin"/>
        </w:r>
        <w:r w:rsidR="005632D0">
          <w:rPr>
            <w:noProof/>
            <w:webHidden/>
          </w:rPr>
          <w:instrText xml:space="preserve"> PAGEREF _Toc119238993 \h </w:instrText>
        </w:r>
        <w:r w:rsidR="005632D0">
          <w:rPr>
            <w:noProof/>
            <w:webHidden/>
          </w:rPr>
        </w:r>
        <w:r w:rsidR="005632D0">
          <w:rPr>
            <w:noProof/>
            <w:webHidden/>
          </w:rPr>
          <w:fldChar w:fldCharType="separate"/>
        </w:r>
        <w:r w:rsidR="005632D0">
          <w:rPr>
            <w:noProof/>
            <w:webHidden/>
          </w:rPr>
          <w:t>48</w:t>
        </w:r>
        <w:r w:rsidR="005632D0">
          <w:rPr>
            <w:noProof/>
            <w:webHidden/>
          </w:rPr>
          <w:fldChar w:fldCharType="end"/>
        </w:r>
      </w:hyperlink>
    </w:p>
    <w:p w:rsidR="005632D0" w:rsidRDefault="00510665" w14:paraId="79E3AB85" w14:textId="0FDBE79B">
      <w:pPr>
        <w:pStyle w:val="TOC2"/>
        <w:rPr>
          <w:rFonts w:asciiTheme="minorHAnsi" w:hAnsiTheme="minorHAnsi" w:eastAsiaTheme="minorEastAsia" w:cstheme="minorBidi"/>
          <w:noProof/>
          <w:sz w:val="22"/>
          <w:szCs w:val="22"/>
        </w:rPr>
      </w:pPr>
      <w:hyperlink w:history="1" w:anchor="_Toc119238994">
        <w:r w:rsidRPr="003B7A92" w:rsidR="005632D0">
          <w:rPr>
            <w:rStyle w:val="Hyperlink"/>
            <w:noProof/>
          </w:rPr>
          <w:t>20.6</w:t>
        </w:r>
        <w:r w:rsidR="005632D0">
          <w:rPr>
            <w:rFonts w:asciiTheme="minorHAnsi" w:hAnsiTheme="minorHAnsi" w:eastAsiaTheme="minorEastAsia" w:cstheme="minorBidi"/>
            <w:noProof/>
            <w:sz w:val="22"/>
            <w:szCs w:val="22"/>
          </w:rPr>
          <w:tab/>
        </w:r>
        <w:r w:rsidRPr="003B7A92" w:rsidR="005632D0">
          <w:rPr>
            <w:rStyle w:val="Hyperlink"/>
            <w:noProof/>
          </w:rPr>
          <w:t>Certifications</w:t>
        </w:r>
        <w:r w:rsidR="005632D0">
          <w:rPr>
            <w:noProof/>
            <w:webHidden/>
          </w:rPr>
          <w:tab/>
        </w:r>
        <w:r w:rsidR="005632D0">
          <w:rPr>
            <w:noProof/>
            <w:webHidden/>
          </w:rPr>
          <w:fldChar w:fldCharType="begin"/>
        </w:r>
        <w:r w:rsidR="005632D0">
          <w:rPr>
            <w:noProof/>
            <w:webHidden/>
          </w:rPr>
          <w:instrText xml:space="preserve"> PAGEREF _Toc119238994 \h </w:instrText>
        </w:r>
        <w:r w:rsidR="005632D0">
          <w:rPr>
            <w:noProof/>
            <w:webHidden/>
          </w:rPr>
        </w:r>
        <w:r w:rsidR="005632D0">
          <w:rPr>
            <w:noProof/>
            <w:webHidden/>
          </w:rPr>
          <w:fldChar w:fldCharType="separate"/>
        </w:r>
        <w:r w:rsidR="005632D0">
          <w:rPr>
            <w:noProof/>
            <w:webHidden/>
          </w:rPr>
          <w:t>49</w:t>
        </w:r>
        <w:r w:rsidR="005632D0">
          <w:rPr>
            <w:noProof/>
            <w:webHidden/>
          </w:rPr>
          <w:fldChar w:fldCharType="end"/>
        </w:r>
      </w:hyperlink>
    </w:p>
    <w:p w:rsidR="005632D0" w:rsidRDefault="00510665" w14:paraId="2E3802BB" w14:textId="227F0D4C">
      <w:pPr>
        <w:pStyle w:val="TOC2"/>
        <w:rPr>
          <w:rFonts w:asciiTheme="minorHAnsi" w:hAnsiTheme="minorHAnsi" w:eastAsiaTheme="minorEastAsia" w:cstheme="minorBidi"/>
          <w:noProof/>
          <w:sz w:val="22"/>
          <w:szCs w:val="22"/>
        </w:rPr>
      </w:pPr>
      <w:hyperlink w:history="1" w:anchor="_Toc119238995">
        <w:r w:rsidRPr="003B7A92" w:rsidR="005632D0">
          <w:rPr>
            <w:rStyle w:val="Hyperlink"/>
            <w:noProof/>
          </w:rPr>
          <w:t>20.7</w:t>
        </w:r>
        <w:r w:rsidR="005632D0">
          <w:rPr>
            <w:rFonts w:asciiTheme="minorHAnsi" w:hAnsiTheme="minorHAnsi" w:eastAsiaTheme="minorEastAsia" w:cstheme="minorBidi"/>
            <w:noProof/>
            <w:sz w:val="22"/>
            <w:szCs w:val="22"/>
          </w:rPr>
          <w:tab/>
        </w:r>
        <w:r w:rsidRPr="003B7A92" w:rsidR="005632D0">
          <w:rPr>
            <w:rStyle w:val="Hyperlink"/>
            <w:noProof/>
          </w:rPr>
          <w:t>Disclaimer of Third Party Beneficiaries</w:t>
        </w:r>
        <w:r w:rsidR="005632D0">
          <w:rPr>
            <w:noProof/>
            <w:webHidden/>
          </w:rPr>
          <w:tab/>
        </w:r>
        <w:r w:rsidR="005632D0">
          <w:rPr>
            <w:noProof/>
            <w:webHidden/>
          </w:rPr>
          <w:fldChar w:fldCharType="begin"/>
        </w:r>
        <w:r w:rsidR="005632D0">
          <w:rPr>
            <w:noProof/>
            <w:webHidden/>
          </w:rPr>
          <w:instrText xml:space="preserve"> PAGEREF _Toc119238995 \h </w:instrText>
        </w:r>
        <w:r w:rsidR="005632D0">
          <w:rPr>
            <w:noProof/>
            <w:webHidden/>
          </w:rPr>
        </w:r>
        <w:r w:rsidR="005632D0">
          <w:rPr>
            <w:noProof/>
            <w:webHidden/>
          </w:rPr>
          <w:fldChar w:fldCharType="separate"/>
        </w:r>
        <w:r w:rsidR="005632D0">
          <w:rPr>
            <w:noProof/>
            <w:webHidden/>
          </w:rPr>
          <w:t>49</w:t>
        </w:r>
        <w:r w:rsidR="005632D0">
          <w:rPr>
            <w:noProof/>
            <w:webHidden/>
          </w:rPr>
          <w:fldChar w:fldCharType="end"/>
        </w:r>
      </w:hyperlink>
    </w:p>
    <w:p w:rsidR="005632D0" w:rsidRDefault="00510665" w14:paraId="35CD8BB0" w14:textId="59300B0F">
      <w:pPr>
        <w:pStyle w:val="TOC2"/>
        <w:rPr>
          <w:rFonts w:asciiTheme="minorHAnsi" w:hAnsiTheme="minorHAnsi" w:eastAsiaTheme="minorEastAsia" w:cstheme="minorBidi"/>
          <w:noProof/>
          <w:sz w:val="22"/>
          <w:szCs w:val="22"/>
        </w:rPr>
      </w:pPr>
      <w:hyperlink w:history="1" w:anchor="_Toc119238996">
        <w:r w:rsidRPr="003B7A92" w:rsidR="005632D0">
          <w:rPr>
            <w:rStyle w:val="Hyperlink"/>
            <w:noProof/>
          </w:rPr>
          <w:t>20.8</w:t>
        </w:r>
        <w:r w:rsidR="005632D0">
          <w:rPr>
            <w:rFonts w:asciiTheme="minorHAnsi" w:hAnsiTheme="minorHAnsi" w:eastAsiaTheme="minorEastAsia" w:cstheme="minorBidi"/>
            <w:noProof/>
            <w:sz w:val="22"/>
            <w:szCs w:val="22"/>
          </w:rPr>
          <w:tab/>
        </w:r>
        <w:r w:rsidRPr="003B7A92" w:rsidR="005632D0">
          <w:rPr>
            <w:rStyle w:val="Hyperlink"/>
            <w:noProof/>
          </w:rPr>
          <w:t>Relationship of the Parties</w:t>
        </w:r>
        <w:r w:rsidR="005632D0">
          <w:rPr>
            <w:noProof/>
            <w:webHidden/>
          </w:rPr>
          <w:tab/>
        </w:r>
        <w:r w:rsidR="005632D0">
          <w:rPr>
            <w:noProof/>
            <w:webHidden/>
          </w:rPr>
          <w:fldChar w:fldCharType="begin"/>
        </w:r>
        <w:r w:rsidR="005632D0">
          <w:rPr>
            <w:noProof/>
            <w:webHidden/>
          </w:rPr>
          <w:instrText xml:space="preserve"> PAGEREF _Toc119238996 \h </w:instrText>
        </w:r>
        <w:r w:rsidR="005632D0">
          <w:rPr>
            <w:noProof/>
            <w:webHidden/>
          </w:rPr>
        </w:r>
        <w:r w:rsidR="005632D0">
          <w:rPr>
            <w:noProof/>
            <w:webHidden/>
          </w:rPr>
          <w:fldChar w:fldCharType="separate"/>
        </w:r>
        <w:r w:rsidR="005632D0">
          <w:rPr>
            <w:noProof/>
            <w:webHidden/>
          </w:rPr>
          <w:t>49</w:t>
        </w:r>
        <w:r w:rsidR="005632D0">
          <w:rPr>
            <w:noProof/>
            <w:webHidden/>
          </w:rPr>
          <w:fldChar w:fldCharType="end"/>
        </w:r>
      </w:hyperlink>
    </w:p>
    <w:p w:rsidR="005632D0" w:rsidRDefault="00510665" w14:paraId="2974AAEB" w14:textId="2B6F5FC2">
      <w:pPr>
        <w:pStyle w:val="TOC2"/>
        <w:rPr>
          <w:rFonts w:asciiTheme="minorHAnsi" w:hAnsiTheme="minorHAnsi" w:eastAsiaTheme="minorEastAsia" w:cstheme="minorBidi"/>
          <w:noProof/>
          <w:sz w:val="22"/>
          <w:szCs w:val="22"/>
        </w:rPr>
      </w:pPr>
      <w:hyperlink w:history="1" w:anchor="_Toc119238997">
        <w:r w:rsidRPr="003B7A92" w:rsidR="005632D0">
          <w:rPr>
            <w:rStyle w:val="Hyperlink"/>
            <w:noProof/>
          </w:rPr>
          <w:t>20.9</w:t>
        </w:r>
        <w:r w:rsidR="005632D0">
          <w:rPr>
            <w:rFonts w:asciiTheme="minorHAnsi" w:hAnsiTheme="minorHAnsi" w:eastAsiaTheme="minorEastAsia" w:cstheme="minorBidi"/>
            <w:noProof/>
            <w:sz w:val="22"/>
            <w:szCs w:val="22"/>
          </w:rPr>
          <w:tab/>
        </w:r>
        <w:r w:rsidRPr="003B7A92" w:rsidR="005632D0">
          <w:rPr>
            <w:rStyle w:val="Hyperlink"/>
            <w:noProof/>
          </w:rPr>
          <w:t>Survival of Obligations</w:t>
        </w:r>
        <w:r w:rsidR="005632D0">
          <w:rPr>
            <w:noProof/>
            <w:webHidden/>
          </w:rPr>
          <w:tab/>
        </w:r>
        <w:r w:rsidR="005632D0">
          <w:rPr>
            <w:noProof/>
            <w:webHidden/>
          </w:rPr>
          <w:fldChar w:fldCharType="begin"/>
        </w:r>
        <w:r w:rsidR="005632D0">
          <w:rPr>
            <w:noProof/>
            <w:webHidden/>
          </w:rPr>
          <w:instrText xml:space="preserve"> PAGEREF _Toc119238997 \h </w:instrText>
        </w:r>
        <w:r w:rsidR="005632D0">
          <w:rPr>
            <w:noProof/>
            <w:webHidden/>
          </w:rPr>
        </w:r>
        <w:r w:rsidR="005632D0">
          <w:rPr>
            <w:noProof/>
            <w:webHidden/>
          </w:rPr>
          <w:fldChar w:fldCharType="separate"/>
        </w:r>
        <w:r w:rsidR="005632D0">
          <w:rPr>
            <w:noProof/>
            <w:webHidden/>
          </w:rPr>
          <w:t>49</w:t>
        </w:r>
        <w:r w:rsidR="005632D0">
          <w:rPr>
            <w:noProof/>
            <w:webHidden/>
          </w:rPr>
          <w:fldChar w:fldCharType="end"/>
        </w:r>
      </w:hyperlink>
    </w:p>
    <w:p w:rsidR="005632D0" w:rsidRDefault="00510665" w14:paraId="7BCDB3E3" w14:textId="5157DE44">
      <w:pPr>
        <w:pStyle w:val="TOC2"/>
        <w:rPr>
          <w:rFonts w:asciiTheme="minorHAnsi" w:hAnsiTheme="minorHAnsi" w:eastAsiaTheme="minorEastAsia" w:cstheme="minorBidi"/>
          <w:noProof/>
          <w:sz w:val="22"/>
          <w:szCs w:val="22"/>
        </w:rPr>
      </w:pPr>
      <w:hyperlink w:history="1" w:anchor="_Toc119238998">
        <w:r w:rsidRPr="003B7A92" w:rsidR="005632D0">
          <w:rPr>
            <w:rStyle w:val="Hyperlink"/>
            <w:noProof/>
          </w:rPr>
          <w:t>20.10</w:t>
        </w:r>
        <w:r w:rsidR="005632D0">
          <w:rPr>
            <w:rFonts w:asciiTheme="minorHAnsi" w:hAnsiTheme="minorHAnsi" w:eastAsiaTheme="minorEastAsia" w:cstheme="minorBidi"/>
            <w:noProof/>
            <w:sz w:val="22"/>
            <w:szCs w:val="22"/>
          </w:rPr>
          <w:tab/>
        </w:r>
        <w:r w:rsidRPr="003B7A92" w:rsidR="005632D0">
          <w:rPr>
            <w:rStyle w:val="Hyperlink"/>
            <w:noProof/>
          </w:rPr>
          <w:t>Severability</w:t>
        </w:r>
        <w:r w:rsidR="005632D0">
          <w:rPr>
            <w:noProof/>
            <w:webHidden/>
          </w:rPr>
          <w:tab/>
        </w:r>
        <w:r w:rsidR="005632D0">
          <w:rPr>
            <w:noProof/>
            <w:webHidden/>
          </w:rPr>
          <w:fldChar w:fldCharType="begin"/>
        </w:r>
        <w:r w:rsidR="005632D0">
          <w:rPr>
            <w:noProof/>
            <w:webHidden/>
          </w:rPr>
          <w:instrText xml:space="preserve"> PAGEREF _Toc119238998 \h </w:instrText>
        </w:r>
        <w:r w:rsidR="005632D0">
          <w:rPr>
            <w:noProof/>
            <w:webHidden/>
          </w:rPr>
        </w:r>
        <w:r w:rsidR="005632D0">
          <w:rPr>
            <w:noProof/>
            <w:webHidden/>
          </w:rPr>
          <w:fldChar w:fldCharType="separate"/>
        </w:r>
        <w:r w:rsidR="005632D0">
          <w:rPr>
            <w:noProof/>
            <w:webHidden/>
          </w:rPr>
          <w:t>49</w:t>
        </w:r>
        <w:r w:rsidR="005632D0">
          <w:rPr>
            <w:noProof/>
            <w:webHidden/>
          </w:rPr>
          <w:fldChar w:fldCharType="end"/>
        </w:r>
      </w:hyperlink>
    </w:p>
    <w:p w:rsidR="005632D0" w:rsidRDefault="00510665" w14:paraId="1D7B065A" w14:textId="14ED1522">
      <w:pPr>
        <w:pStyle w:val="TOC2"/>
        <w:rPr>
          <w:rFonts w:asciiTheme="minorHAnsi" w:hAnsiTheme="minorHAnsi" w:eastAsiaTheme="minorEastAsia" w:cstheme="minorBidi"/>
          <w:noProof/>
          <w:sz w:val="22"/>
          <w:szCs w:val="22"/>
        </w:rPr>
      </w:pPr>
      <w:hyperlink w:history="1" w:anchor="_Toc119238999">
        <w:r w:rsidRPr="003B7A92" w:rsidR="005632D0">
          <w:rPr>
            <w:rStyle w:val="Hyperlink"/>
            <w:noProof/>
          </w:rPr>
          <w:t>20.11</w:t>
        </w:r>
        <w:r w:rsidR="005632D0">
          <w:rPr>
            <w:rFonts w:asciiTheme="minorHAnsi" w:hAnsiTheme="minorHAnsi" w:eastAsiaTheme="minorEastAsia" w:cstheme="minorBidi"/>
            <w:noProof/>
            <w:sz w:val="22"/>
            <w:szCs w:val="22"/>
          </w:rPr>
          <w:tab/>
        </w:r>
        <w:r w:rsidRPr="003B7A92" w:rsidR="005632D0">
          <w:rPr>
            <w:rStyle w:val="Hyperlink"/>
            <w:noProof/>
          </w:rPr>
          <w:t>Complete Agreement; Amendments</w:t>
        </w:r>
        <w:r w:rsidR="005632D0">
          <w:rPr>
            <w:noProof/>
            <w:webHidden/>
          </w:rPr>
          <w:tab/>
        </w:r>
        <w:r w:rsidR="005632D0">
          <w:rPr>
            <w:noProof/>
            <w:webHidden/>
          </w:rPr>
          <w:fldChar w:fldCharType="begin"/>
        </w:r>
        <w:r w:rsidR="005632D0">
          <w:rPr>
            <w:noProof/>
            <w:webHidden/>
          </w:rPr>
          <w:instrText xml:space="preserve"> PAGEREF _Toc119238999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13AF59FA" w14:textId="0F29E957">
      <w:pPr>
        <w:pStyle w:val="TOC2"/>
        <w:rPr>
          <w:rFonts w:asciiTheme="minorHAnsi" w:hAnsiTheme="minorHAnsi" w:eastAsiaTheme="minorEastAsia" w:cstheme="minorBidi"/>
          <w:noProof/>
          <w:sz w:val="22"/>
          <w:szCs w:val="22"/>
        </w:rPr>
      </w:pPr>
      <w:hyperlink w:history="1" w:anchor="_Toc119239000">
        <w:r w:rsidRPr="003B7A92" w:rsidR="005632D0">
          <w:rPr>
            <w:rStyle w:val="Hyperlink"/>
            <w:noProof/>
          </w:rPr>
          <w:t>20.12</w:t>
        </w:r>
        <w:r w:rsidR="005632D0">
          <w:rPr>
            <w:rFonts w:asciiTheme="minorHAnsi" w:hAnsiTheme="minorHAnsi" w:eastAsiaTheme="minorEastAsia" w:cstheme="minorBidi"/>
            <w:noProof/>
            <w:sz w:val="22"/>
            <w:szCs w:val="22"/>
          </w:rPr>
          <w:tab/>
        </w:r>
        <w:r w:rsidRPr="003B7A92" w:rsidR="005632D0">
          <w:rPr>
            <w:rStyle w:val="Hyperlink"/>
            <w:noProof/>
          </w:rPr>
          <w:t>Waiver</w:t>
        </w:r>
        <w:r w:rsidR="005632D0">
          <w:rPr>
            <w:noProof/>
            <w:webHidden/>
          </w:rPr>
          <w:tab/>
        </w:r>
        <w:r w:rsidR="005632D0">
          <w:rPr>
            <w:noProof/>
            <w:webHidden/>
          </w:rPr>
          <w:fldChar w:fldCharType="begin"/>
        </w:r>
        <w:r w:rsidR="005632D0">
          <w:rPr>
            <w:noProof/>
            <w:webHidden/>
          </w:rPr>
          <w:instrText xml:space="preserve"> PAGEREF _Toc119239000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491B96E6" w14:textId="0C7801B6">
      <w:pPr>
        <w:pStyle w:val="TOC2"/>
        <w:rPr>
          <w:rFonts w:asciiTheme="minorHAnsi" w:hAnsiTheme="minorHAnsi" w:eastAsiaTheme="minorEastAsia" w:cstheme="minorBidi"/>
          <w:noProof/>
          <w:sz w:val="22"/>
          <w:szCs w:val="22"/>
        </w:rPr>
      </w:pPr>
      <w:hyperlink w:history="1" w:anchor="_Toc119239001">
        <w:r w:rsidRPr="003B7A92" w:rsidR="005632D0">
          <w:rPr>
            <w:rStyle w:val="Hyperlink"/>
            <w:noProof/>
          </w:rPr>
          <w:t>20.13</w:t>
        </w:r>
        <w:r w:rsidR="005632D0">
          <w:rPr>
            <w:rFonts w:asciiTheme="minorHAnsi" w:hAnsiTheme="minorHAnsi" w:eastAsiaTheme="minorEastAsia" w:cstheme="minorBidi"/>
            <w:noProof/>
            <w:sz w:val="22"/>
            <w:szCs w:val="22"/>
          </w:rPr>
          <w:tab/>
        </w:r>
        <w:r w:rsidRPr="003B7A92" w:rsidR="005632D0">
          <w:rPr>
            <w:rStyle w:val="Hyperlink"/>
            <w:noProof/>
          </w:rPr>
          <w:t>Binding Effect</w:t>
        </w:r>
        <w:r w:rsidR="005632D0">
          <w:rPr>
            <w:noProof/>
            <w:webHidden/>
          </w:rPr>
          <w:tab/>
        </w:r>
        <w:r w:rsidR="005632D0">
          <w:rPr>
            <w:noProof/>
            <w:webHidden/>
          </w:rPr>
          <w:fldChar w:fldCharType="begin"/>
        </w:r>
        <w:r w:rsidR="005632D0">
          <w:rPr>
            <w:noProof/>
            <w:webHidden/>
          </w:rPr>
          <w:instrText xml:space="preserve"> PAGEREF _Toc119239001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4278CF8B" w14:textId="2CE20986">
      <w:pPr>
        <w:pStyle w:val="TOC2"/>
        <w:rPr>
          <w:rFonts w:asciiTheme="minorHAnsi" w:hAnsiTheme="minorHAnsi" w:eastAsiaTheme="minorEastAsia" w:cstheme="minorBidi"/>
          <w:noProof/>
          <w:sz w:val="22"/>
          <w:szCs w:val="22"/>
        </w:rPr>
      </w:pPr>
      <w:hyperlink w:history="1" w:anchor="_Toc119239002">
        <w:r w:rsidRPr="003B7A92" w:rsidR="005632D0">
          <w:rPr>
            <w:rStyle w:val="Hyperlink"/>
            <w:noProof/>
          </w:rPr>
          <w:t>20.14</w:t>
        </w:r>
        <w:r w:rsidR="005632D0">
          <w:rPr>
            <w:rFonts w:asciiTheme="minorHAnsi" w:hAnsiTheme="minorHAnsi" w:eastAsiaTheme="minorEastAsia" w:cstheme="minorBidi"/>
            <w:noProof/>
            <w:sz w:val="22"/>
            <w:szCs w:val="22"/>
          </w:rPr>
          <w:tab/>
        </w:r>
        <w:r w:rsidRPr="003B7A92" w:rsidR="005632D0">
          <w:rPr>
            <w:rStyle w:val="Hyperlink"/>
            <w:noProof/>
          </w:rPr>
          <w:t>Headings</w:t>
        </w:r>
        <w:r w:rsidR="005632D0">
          <w:rPr>
            <w:noProof/>
            <w:webHidden/>
          </w:rPr>
          <w:tab/>
        </w:r>
        <w:r w:rsidR="005632D0">
          <w:rPr>
            <w:noProof/>
            <w:webHidden/>
          </w:rPr>
          <w:fldChar w:fldCharType="begin"/>
        </w:r>
        <w:r w:rsidR="005632D0">
          <w:rPr>
            <w:noProof/>
            <w:webHidden/>
          </w:rPr>
          <w:instrText xml:space="preserve"> PAGEREF _Toc119239002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2FBEE71B" w14:textId="7E4BD8C2">
      <w:pPr>
        <w:pStyle w:val="TOC2"/>
        <w:rPr>
          <w:rFonts w:asciiTheme="minorHAnsi" w:hAnsiTheme="minorHAnsi" w:eastAsiaTheme="minorEastAsia" w:cstheme="minorBidi"/>
          <w:noProof/>
          <w:sz w:val="22"/>
          <w:szCs w:val="22"/>
        </w:rPr>
      </w:pPr>
      <w:hyperlink w:history="1" w:anchor="_Toc119239003">
        <w:r w:rsidRPr="003B7A92" w:rsidR="005632D0">
          <w:rPr>
            <w:rStyle w:val="Hyperlink"/>
            <w:noProof/>
          </w:rPr>
          <w:t>20.15</w:t>
        </w:r>
        <w:r w:rsidR="005632D0">
          <w:rPr>
            <w:rFonts w:asciiTheme="minorHAnsi" w:hAnsiTheme="minorHAnsi" w:eastAsiaTheme="minorEastAsia" w:cstheme="minorBidi"/>
            <w:noProof/>
            <w:sz w:val="22"/>
            <w:szCs w:val="22"/>
          </w:rPr>
          <w:tab/>
        </w:r>
        <w:r w:rsidRPr="003B7A92" w:rsidR="005632D0">
          <w:rPr>
            <w:rStyle w:val="Hyperlink"/>
            <w:noProof/>
          </w:rPr>
          <w:t>Counterparts and Electronic Signatures</w:t>
        </w:r>
        <w:r w:rsidR="005632D0">
          <w:rPr>
            <w:noProof/>
            <w:webHidden/>
          </w:rPr>
          <w:tab/>
        </w:r>
        <w:r w:rsidR="005632D0">
          <w:rPr>
            <w:noProof/>
            <w:webHidden/>
          </w:rPr>
          <w:fldChar w:fldCharType="begin"/>
        </w:r>
        <w:r w:rsidR="005632D0">
          <w:rPr>
            <w:noProof/>
            <w:webHidden/>
          </w:rPr>
          <w:instrText xml:space="preserve"> PAGEREF _Toc119239003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49B4C7F5" w14:textId="4EF6297B">
      <w:pPr>
        <w:pStyle w:val="TOC2"/>
        <w:rPr>
          <w:rFonts w:asciiTheme="minorHAnsi" w:hAnsiTheme="minorHAnsi" w:eastAsiaTheme="minorEastAsia" w:cstheme="minorBidi"/>
          <w:noProof/>
          <w:sz w:val="22"/>
          <w:szCs w:val="22"/>
        </w:rPr>
      </w:pPr>
      <w:hyperlink w:history="1" w:anchor="_Toc119239004">
        <w:r w:rsidRPr="003B7A92" w:rsidR="005632D0">
          <w:rPr>
            <w:rStyle w:val="Hyperlink"/>
            <w:noProof/>
          </w:rPr>
          <w:t>20.16</w:t>
        </w:r>
        <w:r w:rsidR="005632D0">
          <w:rPr>
            <w:rFonts w:asciiTheme="minorHAnsi" w:hAnsiTheme="minorHAnsi" w:eastAsiaTheme="minorEastAsia" w:cstheme="minorBidi"/>
            <w:noProof/>
            <w:sz w:val="22"/>
            <w:szCs w:val="22"/>
          </w:rPr>
          <w:tab/>
        </w:r>
        <w:r w:rsidRPr="003B7A92" w:rsidR="005632D0">
          <w:rPr>
            <w:rStyle w:val="Hyperlink"/>
            <w:noProof/>
          </w:rPr>
          <w:t>Press Release</w:t>
        </w:r>
        <w:r w:rsidR="005632D0">
          <w:rPr>
            <w:noProof/>
            <w:webHidden/>
          </w:rPr>
          <w:tab/>
        </w:r>
        <w:r w:rsidR="005632D0">
          <w:rPr>
            <w:noProof/>
            <w:webHidden/>
          </w:rPr>
          <w:fldChar w:fldCharType="begin"/>
        </w:r>
        <w:r w:rsidR="005632D0">
          <w:rPr>
            <w:noProof/>
            <w:webHidden/>
          </w:rPr>
          <w:instrText xml:space="preserve"> PAGEREF _Toc119239004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3767D0FB" w14:textId="521B7BD5">
      <w:pPr>
        <w:pStyle w:val="TOC2"/>
        <w:rPr>
          <w:rFonts w:asciiTheme="minorHAnsi" w:hAnsiTheme="minorHAnsi" w:eastAsiaTheme="minorEastAsia" w:cstheme="minorBidi"/>
          <w:noProof/>
          <w:sz w:val="22"/>
          <w:szCs w:val="22"/>
        </w:rPr>
      </w:pPr>
      <w:hyperlink w:history="1" w:anchor="_Toc119239005">
        <w:r w:rsidRPr="003B7A92" w:rsidR="005632D0">
          <w:rPr>
            <w:rStyle w:val="Hyperlink"/>
            <w:noProof/>
          </w:rPr>
          <w:t>20.17</w:t>
        </w:r>
        <w:r w:rsidR="005632D0">
          <w:rPr>
            <w:rFonts w:asciiTheme="minorHAnsi" w:hAnsiTheme="minorHAnsi" w:eastAsiaTheme="minorEastAsia" w:cstheme="minorBidi"/>
            <w:noProof/>
            <w:sz w:val="22"/>
            <w:szCs w:val="22"/>
          </w:rPr>
          <w:tab/>
        </w:r>
        <w:r w:rsidRPr="003B7A92" w:rsidR="005632D0">
          <w:rPr>
            <w:rStyle w:val="Hyperlink"/>
            <w:noProof/>
          </w:rPr>
          <w:t>Exhibits</w:t>
        </w:r>
        <w:r w:rsidR="005632D0">
          <w:rPr>
            <w:noProof/>
            <w:webHidden/>
          </w:rPr>
          <w:tab/>
        </w:r>
        <w:r w:rsidR="005632D0">
          <w:rPr>
            <w:noProof/>
            <w:webHidden/>
          </w:rPr>
          <w:fldChar w:fldCharType="begin"/>
        </w:r>
        <w:r w:rsidR="005632D0">
          <w:rPr>
            <w:noProof/>
            <w:webHidden/>
          </w:rPr>
          <w:instrText xml:space="preserve"> PAGEREF _Toc119239005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24C8F1E5" w14:textId="44525A72">
      <w:pPr>
        <w:pStyle w:val="TOC2"/>
        <w:rPr>
          <w:rFonts w:asciiTheme="minorHAnsi" w:hAnsiTheme="minorHAnsi" w:eastAsiaTheme="minorEastAsia" w:cstheme="minorBidi"/>
          <w:noProof/>
          <w:sz w:val="22"/>
          <w:szCs w:val="22"/>
        </w:rPr>
      </w:pPr>
      <w:hyperlink w:history="1" w:anchor="_Toc119239006">
        <w:r w:rsidRPr="003B7A92" w:rsidR="005632D0">
          <w:rPr>
            <w:rStyle w:val="Hyperlink"/>
            <w:noProof/>
          </w:rPr>
          <w:t>20.18</w:t>
        </w:r>
        <w:r w:rsidR="005632D0">
          <w:rPr>
            <w:rFonts w:asciiTheme="minorHAnsi" w:hAnsiTheme="minorHAnsi" w:eastAsiaTheme="minorEastAsia" w:cstheme="minorBidi"/>
            <w:noProof/>
            <w:sz w:val="22"/>
            <w:szCs w:val="22"/>
          </w:rPr>
          <w:tab/>
        </w:r>
        <w:r w:rsidRPr="003B7A92" w:rsidR="005632D0">
          <w:rPr>
            <w:rStyle w:val="Hyperlink"/>
            <w:noProof/>
          </w:rPr>
          <w:t>Confidentiality</w:t>
        </w:r>
        <w:r w:rsidR="005632D0">
          <w:rPr>
            <w:noProof/>
            <w:webHidden/>
          </w:rPr>
          <w:tab/>
        </w:r>
        <w:r w:rsidR="005632D0">
          <w:rPr>
            <w:noProof/>
            <w:webHidden/>
          </w:rPr>
          <w:fldChar w:fldCharType="begin"/>
        </w:r>
        <w:r w:rsidR="005632D0">
          <w:rPr>
            <w:noProof/>
            <w:webHidden/>
          </w:rPr>
          <w:instrText xml:space="preserve"> PAGEREF _Toc119239006 \h </w:instrText>
        </w:r>
        <w:r w:rsidR="005632D0">
          <w:rPr>
            <w:noProof/>
            <w:webHidden/>
          </w:rPr>
        </w:r>
        <w:r w:rsidR="005632D0">
          <w:rPr>
            <w:noProof/>
            <w:webHidden/>
          </w:rPr>
          <w:fldChar w:fldCharType="separate"/>
        </w:r>
        <w:r w:rsidR="005632D0">
          <w:rPr>
            <w:noProof/>
            <w:webHidden/>
          </w:rPr>
          <w:t>50</w:t>
        </w:r>
        <w:r w:rsidR="005632D0">
          <w:rPr>
            <w:noProof/>
            <w:webHidden/>
          </w:rPr>
          <w:fldChar w:fldCharType="end"/>
        </w:r>
      </w:hyperlink>
    </w:p>
    <w:p w:rsidR="005632D0" w:rsidRDefault="00510665" w14:paraId="4BF4A752" w14:textId="78E48CAD">
      <w:pPr>
        <w:pStyle w:val="TOC2"/>
        <w:rPr>
          <w:rFonts w:asciiTheme="minorHAnsi" w:hAnsiTheme="minorHAnsi" w:eastAsiaTheme="minorEastAsia" w:cstheme="minorBidi"/>
          <w:noProof/>
          <w:sz w:val="22"/>
          <w:szCs w:val="22"/>
        </w:rPr>
      </w:pPr>
      <w:hyperlink w:history="1" w:anchor="_Toc119239007">
        <w:r w:rsidRPr="003B7A92" w:rsidR="005632D0">
          <w:rPr>
            <w:rStyle w:val="Hyperlink"/>
            <w:noProof/>
          </w:rPr>
          <w:t>20.19</w:t>
        </w:r>
        <w:r w:rsidR="005632D0">
          <w:rPr>
            <w:rFonts w:asciiTheme="minorHAnsi" w:hAnsiTheme="minorHAnsi" w:eastAsiaTheme="minorEastAsia" w:cstheme="minorBidi"/>
            <w:noProof/>
            <w:sz w:val="22"/>
            <w:szCs w:val="22"/>
          </w:rPr>
          <w:tab/>
        </w:r>
        <w:r w:rsidRPr="003B7A92" w:rsidR="005632D0">
          <w:rPr>
            <w:rStyle w:val="Hyperlink"/>
            <w:noProof/>
          </w:rPr>
          <w:t>Accounting Treatment</w:t>
        </w:r>
        <w:r w:rsidR="005632D0">
          <w:rPr>
            <w:noProof/>
            <w:webHidden/>
          </w:rPr>
          <w:tab/>
        </w:r>
        <w:r w:rsidR="005632D0">
          <w:rPr>
            <w:noProof/>
            <w:webHidden/>
          </w:rPr>
          <w:fldChar w:fldCharType="begin"/>
        </w:r>
        <w:r w:rsidR="005632D0">
          <w:rPr>
            <w:noProof/>
            <w:webHidden/>
          </w:rPr>
          <w:instrText xml:space="preserve"> PAGEREF _Toc119239007 \h </w:instrText>
        </w:r>
        <w:r w:rsidR="005632D0">
          <w:rPr>
            <w:noProof/>
            <w:webHidden/>
          </w:rPr>
        </w:r>
        <w:r w:rsidR="005632D0">
          <w:rPr>
            <w:noProof/>
            <w:webHidden/>
          </w:rPr>
          <w:fldChar w:fldCharType="separate"/>
        </w:r>
        <w:r w:rsidR="005632D0">
          <w:rPr>
            <w:noProof/>
            <w:webHidden/>
          </w:rPr>
          <w:t>51</w:t>
        </w:r>
        <w:r w:rsidR="005632D0">
          <w:rPr>
            <w:noProof/>
            <w:webHidden/>
          </w:rPr>
          <w:fldChar w:fldCharType="end"/>
        </w:r>
      </w:hyperlink>
    </w:p>
    <w:p w:rsidR="0079779A" w:rsidRDefault="003E5439" w14:paraId="551E807A" w14:textId="03C3D96C">
      <w:pPr>
        <w:pStyle w:val="TOC1"/>
        <w:jc w:val="left"/>
      </w:pPr>
      <w:r>
        <w:fldChar w:fldCharType="end"/>
      </w:r>
    </w:p>
    <w:p w:rsidR="0079779A" w:rsidRDefault="003E5439" w14:paraId="0E339A98" w14:textId="77777777">
      <w:pPr>
        <w:pStyle w:val="TOC1"/>
        <w:jc w:val="left"/>
      </w:pPr>
      <w:r>
        <w:lastRenderedPageBreak/>
        <w:t>EXHIBIT A</w:t>
      </w:r>
      <w:r>
        <w:tab/>
        <w:t>DEFINITIONS</w:t>
      </w:r>
    </w:p>
    <w:p w:rsidR="0079779A" w:rsidRDefault="003E5439" w14:paraId="6CBE7DA0" w14:textId="77777777">
      <w:pPr>
        <w:pStyle w:val="TOC1"/>
        <w:jc w:val="left"/>
      </w:pPr>
      <w:r>
        <w:t>EXHIBIT B</w:t>
      </w:r>
      <w:r>
        <w:tab/>
        <w:t>CONSTRUCTION MILESTONES</w:t>
      </w:r>
    </w:p>
    <w:p w:rsidR="0079779A" w:rsidRDefault="003E5439" w14:paraId="62E65D1B" w14:textId="77777777">
      <w:pPr>
        <w:pStyle w:val="TOC1"/>
        <w:jc w:val="left"/>
      </w:pPr>
      <w:r>
        <w:t xml:space="preserve">EXHIBIT C </w:t>
      </w:r>
      <w:r>
        <w:tab/>
        <w:t>FACILITY DESCRIPTION AND SITE MAPS</w:t>
      </w:r>
    </w:p>
    <w:p w:rsidR="0079779A" w:rsidRDefault="003E5439" w14:paraId="3A8EC9EC" w14:textId="77777777">
      <w:pPr>
        <w:pStyle w:val="TOC1"/>
        <w:jc w:val="left"/>
      </w:pPr>
      <w:r>
        <w:t xml:space="preserve">EXHIBIT D </w:t>
      </w:r>
      <w:r>
        <w:tab/>
        <w:t xml:space="preserve">NOTICES </w:t>
      </w:r>
    </w:p>
    <w:p w:rsidR="0079779A" w:rsidRDefault="003E5439" w14:paraId="12E538E8" w14:textId="77777777">
      <w:pPr>
        <w:pStyle w:val="TOC1"/>
        <w:jc w:val="left"/>
      </w:pPr>
      <w:r>
        <w:t>EXHIBIT E</w:t>
      </w:r>
      <w:r>
        <w:tab/>
        <w:t>INSURANCE COVERAGE</w:t>
      </w:r>
    </w:p>
    <w:p w:rsidR="0079779A" w:rsidRDefault="003E5439" w14:paraId="7EC4CB68" w14:textId="77777777">
      <w:pPr>
        <w:pStyle w:val="TOC1"/>
        <w:jc w:val="left"/>
      </w:pPr>
      <w:r>
        <w:t xml:space="preserve">EXHIBIT F </w:t>
      </w:r>
      <w:r>
        <w:tab/>
        <w:t>SELLER’S NEEDED PERMITS</w:t>
      </w:r>
    </w:p>
    <w:p w:rsidR="0079779A" w:rsidRDefault="003E5439" w14:paraId="5EBC5EA6" w14:textId="77777777">
      <w:pPr>
        <w:pStyle w:val="TOC1"/>
        <w:jc w:val="left"/>
      </w:pPr>
      <w:r>
        <w:t>EXHIBIT G</w:t>
      </w:r>
      <w:r>
        <w:tab/>
        <w:t>FORM OF LETTER OF CREDIT</w:t>
      </w:r>
    </w:p>
    <w:p w:rsidR="0079779A" w:rsidRDefault="003E5439" w14:paraId="7B87E888" w14:textId="77777777">
      <w:pPr>
        <w:pStyle w:val="TOC1"/>
        <w:jc w:val="left"/>
      </w:pPr>
      <w:r>
        <w:t xml:space="preserve">EXHIBIT H </w:t>
      </w:r>
      <w:r>
        <w:tab/>
        <w:t>FORM OF GUARANTY</w:t>
      </w:r>
    </w:p>
    <w:p w:rsidR="0079779A" w:rsidRDefault="003E5439" w14:paraId="27F0AEA1" w14:textId="77777777">
      <w:pPr>
        <w:pStyle w:val="TOC1"/>
        <w:jc w:val="left"/>
      </w:pPr>
      <w:r>
        <w:t>EXHIBIT I</w:t>
      </w:r>
      <w:r>
        <w:tab/>
        <w:t>AGC PROTOCOLS; DISPATCH AND AVAILABILITY NOTICES; DATA COLLECTION; TECHNICAL SPECIFICATIONS</w:t>
      </w:r>
    </w:p>
    <w:p w:rsidR="0079779A" w:rsidRDefault="003E5439" w14:paraId="57682ED4" w14:textId="77777777">
      <w:pPr>
        <w:pStyle w:val="TOC1"/>
        <w:jc w:val="left"/>
      </w:pPr>
      <w:r>
        <w:t xml:space="preserve">EXHIBIT J </w:t>
      </w:r>
      <w:r>
        <w:tab/>
        <w:t>BATTERY PAYMENT RATE AND CAPACITY PAYMENT RATE</w:t>
      </w:r>
    </w:p>
    <w:p w:rsidR="0079779A" w:rsidRDefault="003E5439" w14:paraId="52D95AC6" w14:textId="77777777">
      <w:pPr>
        <w:pStyle w:val="TOC1"/>
        <w:jc w:val="left"/>
      </w:pPr>
      <w:r>
        <w:t xml:space="preserve">EXHIBIT K </w:t>
      </w:r>
      <w:r>
        <w:tab/>
        <w:t>LENDER CONSENT PROVISIONS</w:t>
      </w:r>
    </w:p>
    <w:p w:rsidR="0079779A" w:rsidRDefault="003E5439" w14:paraId="777C3D03" w14:textId="77777777">
      <w:pPr>
        <w:pStyle w:val="TOC1"/>
        <w:jc w:val="left"/>
      </w:pPr>
      <w:r>
        <w:t xml:space="preserve">EXHIBIT L </w:t>
      </w:r>
      <w:r>
        <w:tab/>
        <w:t>PSA PROVISIONS</w:t>
      </w:r>
    </w:p>
    <w:p w:rsidR="0079779A" w:rsidRDefault="003E5439" w14:paraId="743D892F" w14:textId="77777777">
      <w:pPr>
        <w:pStyle w:val="TOC1"/>
        <w:jc w:val="left"/>
        <w:rPr>
          <w:i/>
        </w:rPr>
      </w:pPr>
      <w:r>
        <w:t xml:space="preserve">EXHIBIT M </w:t>
      </w:r>
      <w:r>
        <w:tab/>
        <w:t>BATTERY STORAGE SYSTEM TESTING PROTOCOLS</w:t>
      </w:r>
    </w:p>
    <w:bookmarkEnd w:id="2"/>
    <w:p w:rsidR="0079779A" w:rsidRDefault="003E5439" w14:paraId="77C4BBE5" w14:textId="77777777">
      <w:pPr>
        <w:pStyle w:val="TOC1"/>
        <w:jc w:val="left"/>
      </w:pPr>
      <w:r>
        <w:t>EXHIBIT M-1</w:t>
      </w:r>
      <w:r>
        <w:tab/>
        <w:t xml:space="preserve"> BATTERY STORAGE SYSTEM GUARANTEED PERFORMANCE LEVELS </w:t>
      </w:r>
    </w:p>
    <w:p w:rsidR="0079779A" w:rsidRDefault="003E5439" w14:paraId="516928B7" w14:textId="77777777">
      <w:pPr>
        <w:pStyle w:val="TOC1"/>
        <w:jc w:val="left"/>
        <w:rPr>
          <w:i/>
        </w:rPr>
      </w:pPr>
      <w:r>
        <w:t xml:space="preserve">EXHIBIT N </w:t>
      </w:r>
      <w:r>
        <w:tab/>
        <w:t xml:space="preserve">RESERVED </w:t>
      </w:r>
    </w:p>
    <w:p w:rsidR="0079779A" w:rsidRDefault="003E5439" w14:paraId="4A4BDD4E" w14:textId="77777777">
      <w:pPr>
        <w:pStyle w:val="TOC1"/>
        <w:jc w:val="left"/>
      </w:pPr>
      <w:r>
        <w:t>EXHIBIT O</w:t>
      </w:r>
      <w:r>
        <w:tab/>
        <w:t>BATTERY STORAGE SYSTEM OPERATING PROCEDURES</w:t>
      </w:r>
    </w:p>
    <w:p w:rsidR="0079779A" w:rsidRDefault="003E5439" w14:paraId="5B75D798" w14:textId="77777777">
      <w:pPr>
        <w:spacing w:before="120" w:after="120"/>
        <w:ind w:left="1440" w:hanging="1440"/>
        <w:rPr>
          <w:rFonts w:cs="Arial"/>
        </w:rPr>
      </w:pPr>
      <w:r>
        <w:rPr>
          <w:rFonts w:cs="Arial"/>
          <w:b/>
        </w:rPr>
        <w:t>EXHIBIT P</w:t>
      </w:r>
      <w:r>
        <w:rPr>
          <w:rFonts w:cs="Arial"/>
          <w:b/>
        </w:rPr>
        <w:tab/>
        <w:t>SAFETY REQUIREMENTS</w:t>
      </w:r>
    </w:p>
    <w:p w:rsidR="0079779A" w:rsidRDefault="003E5439" w14:paraId="52DCCF63" w14:textId="77777777">
      <w:pPr>
        <w:pStyle w:val="TOC1"/>
        <w:jc w:val="left"/>
        <w:rPr>
          <w:b w:val="0"/>
        </w:rPr>
      </w:pPr>
      <w:r>
        <w:t xml:space="preserve">EXHIBIT Q </w:t>
      </w:r>
      <w:r>
        <w:tab/>
        <w:t xml:space="preserve">EXAMPLE ADJUSTMENT CALCULATIONS </w:t>
      </w:r>
    </w:p>
    <w:p w:rsidR="0079779A" w:rsidRDefault="003E5439" w14:paraId="7C0CFBC0" w14:textId="77777777">
      <w:pPr>
        <w:pStyle w:val="TOC1"/>
      </w:pPr>
      <w:r>
        <w:t xml:space="preserve">                                         </w:t>
      </w:r>
    </w:p>
    <w:p w:rsidR="0079779A" w:rsidRDefault="0079779A" w14:paraId="1922FF72" w14:textId="77777777">
      <w:pPr>
        <w:spacing w:after="240"/>
        <w:ind w:left="1440" w:hanging="1440"/>
        <w:rPr>
          <w:rFonts w:cs="Arial"/>
          <w:b/>
        </w:rPr>
      </w:pPr>
    </w:p>
    <w:p w:rsidR="0079779A" w:rsidRDefault="0079779A" w14:paraId="6EAE7447" w14:textId="77777777">
      <w:pPr>
        <w:keepNext/>
        <w:keepLines/>
        <w:tabs>
          <w:tab w:val="left" w:pos="1260"/>
          <w:tab w:val="right" w:leader="dot" w:pos="9350"/>
        </w:tabs>
        <w:ind w:left="1267" w:hanging="1267"/>
        <w:rPr>
          <w:rFonts w:cs="Arial"/>
          <w:bCs/>
          <w:caps/>
          <w:smallCaps/>
        </w:rPr>
      </w:pPr>
    </w:p>
    <w:p w:rsidR="0079779A" w:rsidRDefault="0079779A" w14:paraId="35AFCD04" w14:textId="77777777">
      <w:pPr>
        <w:keepNext/>
        <w:keepLines/>
        <w:tabs>
          <w:tab w:val="left" w:pos="1260"/>
          <w:tab w:val="right" w:leader="dot" w:pos="9350"/>
        </w:tabs>
        <w:ind w:left="1267" w:hanging="1267"/>
        <w:rPr>
          <w:rFonts w:cs="Arial"/>
          <w:b/>
          <w:smallCaps/>
        </w:rPr>
      </w:pPr>
    </w:p>
    <w:p w:rsidR="0079779A" w:rsidRDefault="0079779A" w14:paraId="3458EACB" w14:textId="77777777">
      <w:pPr>
        <w:keepNext/>
        <w:keepLines/>
        <w:tabs>
          <w:tab w:val="left" w:pos="1260"/>
          <w:tab w:val="right" w:leader="dot" w:pos="9350"/>
        </w:tabs>
        <w:ind w:left="1267" w:hanging="1267"/>
        <w:rPr>
          <w:rFonts w:cs="Arial"/>
          <w:b/>
        </w:rPr>
      </w:pPr>
    </w:p>
    <w:p w:rsidR="0079779A" w:rsidRDefault="0079779A" w14:paraId="52344D81" w14:textId="77777777">
      <w:pPr>
        <w:rPr>
          <w:rFonts w:cs="Arial"/>
          <w:b/>
          <w:smallCaps/>
        </w:rPr>
        <w:sectPr w:rsidR="0079779A">
          <w:headerReference w:type="even" r:id="rId18"/>
          <w:headerReference w:type="default" r:id="rId19"/>
          <w:footerReference w:type="even" r:id="rId20"/>
          <w:footerReference w:type="default" r:id="rId21"/>
          <w:headerReference w:type="first" r:id="rId22"/>
          <w:footerReference w:type="first" r:id="rId23"/>
          <w:pgSz w:w="12240" w:h="15840" w:code="1"/>
          <w:pgMar w:top="1080" w:right="1440" w:bottom="1440" w:left="1440" w:header="720" w:footer="720" w:gutter="0"/>
          <w:pgNumType w:fmt="lowerRoman" w:start="1"/>
          <w:cols w:space="720"/>
        </w:sectPr>
      </w:pPr>
    </w:p>
    <w:p w:rsidR="0079779A" w:rsidRDefault="003E5439" w14:paraId="3B8E2CF3" w14:textId="77777777">
      <w:pPr>
        <w:jc w:val="center"/>
        <w:outlineLvl w:val="0"/>
        <w:rPr>
          <w:rFonts w:cs="Arial"/>
          <w:b/>
          <w:smallCaps/>
        </w:rPr>
      </w:pPr>
      <w:bookmarkStart w:name="_Toc433954108" w:id="3"/>
      <w:r>
        <w:rPr>
          <w:rFonts w:cs="Arial"/>
          <w:b/>
          <w:smallCaps/>
        </w:rPr>
        <w:lastRenderedPageBreak/>
        <w:t>Battery Storage</w:t>
      </w:r>
    </w:p>
    <w:p w:rsidR="0079779A" w:rsidRDefault="003E5439" w14:paraId="585F2D02" w14:textId="77777777">
      <w:pPr>
        <w:jc w:val="center"/>
        <w:outlineLvl w:val="0"/>
        <w:rPr>
          <w:rFonts w:cs="Arial"/>
          <w:b/>
          <w:smallCaps/>
        </w:rPr>
      </w:pPr>
      <w:r>
        <w:rPr>
          <w:rFonts w:cs="Arial"/>
          <w:b/>
          <w:smallCaps/>
        </w:rPr>
        <w:t xml:space="preserve"> Energy Purchase Agreement</w:t>
      </w:r>
      <w:bookmarkEnd w:id="3"/>
    </w:p>
    <w:p w:rsidR="0079779A" w:rsidRDefault="003E5439" w14:paraId="564E918C" w14:textId="77777777">
      <w:pPr>
        <w:jc w:val="center"/>
        <w:rPr>
          <w:rFonts w:cs="Arial"/>
          <w:b/>
          <w:smallCaps/>
        </w:rPr>
      </w:pPr>
      <w:r>
        <w:rPr>
          <w:rFonts w:cs="Arial"/>
          <w:b/>
          <w:smallCaps/>
        </w:rPr>
        <w:t>between</w:t>
      </w:r>
    </w:p>
    <w:p w:rsidR="0079779A" w:rsidRDefault="003E5439" w14:paraId="1F329050" w14:textId="77777777">
      <w:pPr>
        <w:jc w:val="center"/>
        <w:rPr>
          <w:rFonts w:cs="Arial"/>
          <w:b/>
          <w:smallCaps/>
        </w:rPr>
      </w:pPr>
      <w:r>
        <w:rPr>
          <w:rFonts w:cs="Arial"/>
          <w:b/>
          <w:smallCaps/>
        </w:rPr>
        <w:t>Public Service Company of Colorado</w:t>
      </w:r>
    </w:p>
    <w:p w:rsidR="0079779A" w:rsidRDefault="003E5439" w14:paraId="71D7087A" w14:textId="77777777">
      <w:pPr>
        <w:jc w:val="center"/>
        <w:outlineLvl w:val="0"/>
        <w:rPr>
          <w:rFonts w:cs="Arial"/>
          <w:b/>
          <w:smallCaps/>
        </w:rPr>
      </w:pPr>
      <w:bookmarkStart w:name="_Toc433954109" w:id="4"/>
      <w:r>
        <w:rPr>
          <w:rFonts w:cs="Arial"/>
          <w:b/>
          <w:smallCaps/>
        </w:rPr>
        <w:t>and</w:t>
      </w:r>
      <w:bookmarkEnd w:id="4"/>
    </w:p>
    <w:p w:rsidR="0079779A" w:rsidRDefault="003E5439" w14:paraId="616D3218" w14:textId="77777777">
      <w:pPr>
        <w:tabs>
          <w:tab w:val="center" w:pos="-810"/>
        </w:tabs>
        <w:jc w:val="center"/>
        <w:outlineLvl w:val="0"/>
        <w:rPr>
          <w:rFonts w:cs="Arial"/>
        </w:rPr>
      </w:pPr>
      <w:bookmarkStart w:name="_Toc433954110" w:id="5"/>
      <w:r>
        <w:rPr>
          <w:rFonts w:cs="Arial"/>
          <w:b/>
          <w:smallCaps/>
          <w:highlight w:val="yellow"/>
        </w:rPr>
        <w:t>[_____________________</w:t>
      </w:r>
      <w:r>
        <w:rPr>
          <w:rFonts w:cs="Arial"/>
          <w:b/>
          <w:smallCaps/>
        </w:rPr>
        <w:t>], LLC</w:t>
      </w:r>
      <w:bookmarkEnd w:id="5"/>
    </w:p>
    <w:p w:rsidR="0079779A" w:rsidRDefault="0079779A" w14:paraId="3527B3A3" w14:textId="77777777">
      <w:pPr>
        <w:rPr>
          <w:rFonts w:cs="Arial"/>
        </w:rPr>
      </w:pPr>
    </w:p>
    <w:p w:rsidR="0079779A" w:rsidRDefault="003E5439" w14:paraId="4F2343CA" w14:textId="77777777">
      <w:pPr>
        <w:spacing w:after="240"/>
        <w:ind w:firstLine="720"/>
        <w:jc w:val="both"/>
        <w:rPr>
          <w:rFonts w:cs="Arial"/>
        </w:rPr>
      </w:pPr>
      <w:r>
        <w:rPr>
          <w:rFonts w:cs="Arial"/>
        </w:rPr>
        <w:t>This Battery Storage Energy Purchase Agreement (this “</w:t>
      </w:r>
      <w:r>
        <w:rPr>
          <w:rFonts w:cs="Arial"/>
          <w:u w:val="single"/>
        </w:rPr>
        <w:t>PPA</w:t>
      </w:r>
      <w:r>
        <w:rPr>
          <w:rFonts w:cs="Arial"/>
        </w:rPr>
        <w:t>”) is made as of this [</w:t>
      </w:r>
      <w:r>
        <w:rPr>
          <w:rFonts w:cs="Arial"/>
          <w:highlight w:val="yellow"/>
        </w:rPr>
        <w:t>____</w:t>
      </w:r>
      <w:r>
        <w:rPr>
          <w:rFonts w:cs="Arial"/>
        </w:rPr>
        <w:t>] day of [</w:t>
      </w:r>
      <w:r>
        <w:rPr>
          <w:rFonts w:cs="Arial"/>
          <w:highlight w:val="yellow"/>
        </w:rPr>
        <w:t>_______,</w:t>
      </w:r>
      <w:r>
        <w:rPr>
          <w:rFonts w:cs="Arial"/>
        </w:rPr>
        <w:t xml:space="preserve"> 20</w:t>
      </w:r>
      <w:r>
        <w:rPr>
          <w:rFonts w:cs="Arial"/>
          <w:highlight w:val="yellow"/>
        </w:rPr>
        <w:t>__</w:t>
      </w:r>
      <w:r>
        <w:rPr>
          <w:rFonts w:cs="Arial"/>
        </w:rPr>
        <w:t>] (“</w:t>
      </w:r>
      <w:r>
        <w:rPr>
          <w:rFonts w:cs="Arial"/>
          <w:u w:val="single"/>
        </w:rPr>
        <w:t>Effective Date</w:t>
      </w:r>
      <w:r>
        <w:rPr>
          <w:rFonts w:cs="Arial"/>
        </w:rPr>
        <w:t>”), by and between (i) Public Service Company of Colorado, a Colorado corporation with a principal place of business at 1800 Larimer Street, Denver, CO 80202 (“</w:t>
      </w:r>
      <w:r>
        <w:rPr>
          <w:rFonts w:cs="Arial"/>
          <w:u w:val="single"/>
        </w:rPr>
        <w:t>Company</w:t>
      </w:r>
      <w:r>
        <w:rPr>
          <w:rFonts w:cs="Arial"/>
        </w:rPr>
        <w:t>”), and (ii) [</w:t>
      </w:r>
      <w:r>
        <w:rPr>
          <w:rFonts w:cs="Arial"/>
          <w:highlight w:val="yellow"/>
        </w:rPr>
        <w:t>_______________________,</w:t>
      </w:r>
      <w:r>
        <w:rPr>
          <w:rFonts w:cs="Arial"/>
        </w:rPr>
        <w:t>] LLC, a [</w:t>
      </w:r>
      <w:r>
        <w:rPr>
          <w:rFonts w:cs="Arial"/>
          <w:highlight w:val="yellow"/>
        </w:rPr>
        <w:t>_________</w:t>
      </w:r>
      <w:r>
        <w:rPr>
          <w:rFonts w:cs="Arial"/>
        </w:rPr>
        <w:t>] [limited liability company] with a principal place of business at [</w:t>
      </w:r>
      <w:r>
        <w:rPr>
          <w:rFonts w:cs="Arial"/>
          <w:highlight w:val="yellow"/>
        </w:rPr>
        <w:t>_______________</w:t>
      </w:r>
      <w:r>
        <w:rPr>
          <w:rFonts w:cs="Arial"/>
        </w:rPr>
        <w:t>] (“</w:t>
      </w:r>
      <w:r>
        <w:rPr>
          <w:rFonts w:cs="Arial"/>
          <w:u w:val="single"/>
        </w:rPr>
        <w:t>Seller</w:t>
      </w:r>
      <w:r>
        <w:rPr>
          <w:rFonts w:cs="Arial"/>
        </w:rPr>
        <w:t>”).  Company and Seller are hereinafter referred to individually as a “</w:t>
      </w:r>
      <w:r>
        <w:rPr>
          <w:rFonts w:cs="Arial"/>
          <w:u w:val="single"/>
        </w:rPr>
        <w:t>Party</w:t>
      </w:r>
      <w:r>
        <w:rPr>
          <w:rFonts w:cs="Arial"/>
        </w:rPr>
        <w:t>” and collectively as the “</w:t>
      </w:r>
      <w:r>
        <w:rPr>
          <w:rFonts w:cs="Arial"/>
          <w:u w:val="single"/>
        </w:rPr>
        <w:t>Parties</w:t>
      </w:r>
      <w:r>
        <w:rPr>
          <w:rFonts w:cs="Arial"/>
        </w:rPr>
        <w:t>.”</w:t>
      </w:r>
    </w:p>
    <w:p w:rsidR="0079779A" w:rsidRDefault="003E5439" w14:paraId="16EC727A" w14:textId="77777777">
      <w:pPr>
        <w:spacing w:after="240"/>
        <w:ind w:firstLine="720"/>
        <w:jc w:val="both"/>
        <w:rPr>
          <w:rFonts w:cs="Arial"/>
        </w:rPr>
      </w:pPr>
      <w:r>
        <w:rPr>
          <w:rFonts w:cs="Arial"/>
        </w:rPr>
        <w:t>WHEREAS Seller desires to develop, design, construct, interconnect, own, operate and maintain the Facility as defined herein; and</w:t>
      </w:r>
    </w:p>
    <w:p w:rsidR="0079779A" w:rsidRDefault="003E5439" w14:paraId="07F080D9" w14:textId="77777777">
      <w:pPr>
        <w:spacing w:after="240"/>
        <w:ind w:firstLine="720"/>
        <w:jc w:val="both"/>
        <w:rPr>
          <w:rFonts w:cs="Arial"/>
        </w:rPr>
      </w:pPr>
      <w:r>
        <w:rPr>
          <w:rFonts w:cs="Arial"/>
        </w:rPr>
        <w:t>WHEREAS Seller desires to sell and deliver, and Company desires to accept and receive, certain products and services provided, stored and/or delivered from the Facility to the Point of Delivery at the prices and on the terms and conditions set forth in this PPA.</w:t>
      </w:r>
    </w:p>
    <w:p w:rsidR="0079779A" w:rsidRDefault="003E5439" w14:paraId="308BC619" w14:textId="77777777">
      <w:pPr>
        <w:spacing w:after="240"/>
        <w:ind w:firstLine="720"/>
        <w:jc w:val="both"/>
        <w:rPr>
          <w:rFonts w:cs="Arial"/>
        </w:rPr>
      </w:pPr>
      <w:r>
        <w:rPr>
          <w:rFonts w:cs="Arial"/>
        </w:rPr>
        <w:t>NOW THEREFORE, in consideration of the mutual covenants herein contained, the sufficiency and adequacy of which are hereby acknowledged, the Parties agree to the following:</w:t>
      </w:r>
    </w:p>
    <w:p w:rsidR="0079779A" w:rsidRDefault="003E5439" w14:paraId="7D3B6892" w14:textId="77777777">
      <w:pPr>
        <w:pStyle w:val="ArticleL1"/>
      </w:pPr>
      <w:bookmarkStart w:name="_Toc433953953" w:id="6"/>
      <w:bookmarkStart w:name="_Toc433954111" w:id="7"/>
      <w:bookmarkStart w:name="_Toc288027234" w:id="8"/>
      <w:r>
        <w:t>Rules of Interpretation</w:t>
      </w:r>
      <w:bookmarkEnd w:id="6"/>
      <w:bookmarkEnd w:id="7"/>
      <w:r>
        <w:fldChar w:fldCharType="begin"/>
      </w:r>
      <w:r>
        <w:instrText>tc "</w:instrText>
      </w:r>
      <w:bookmarkStart w:name="_Toc457184741" w:id="9"/>
      <w:bookmarkStart w:name="_Toc531859585" w:id="10"/>
      <w:bookmarkStart w:name="_Toc119238888" w:id="11"/>
      <w:r>
        <w:instrText>Article 1 - Rules of Interpretation</w:instrText>
      </w:r>
      <w:bookmarkEnd w:id="9"/>
      <w:bookmarkEnd w:id="10"/>
      <w:bookmarkEnd w:id="11"/>
      <w:r>
        <w:instrText>” \f C \l 1</w:instrText>
      </w:r>
      <w:r>
        <w:fldChar w:fldCharType="end"/>
      </w:r>
      <w:r>
        <w:fldChar w:fldCharType="begin"/>
      </w:r>
      <w:r>
        <w:instrText xml:space="preserve"> TC </w:instrText>
      </w:r>
      <w:r>
        <w:fldChar w:fldCharType="end"/>
      </w:r>
      <w:bookmarkEnd w:id="8"/>
    </w:p>
    <w:p w:rsidR="0079779A" w:rsidRDefault="003E5439" w14:paraId="6B27B1C8" w14:textId="77777777">
      <w:pPr>
        <w:pStyle w:val="ArticleL2"/>
      </w:pPr>
      <w:bookmarkStart w:name="_Toc288027235" w:id="12"/>
      <w:bookmarkStart w:name="_Toc433953954" w:id="13"/>
      <w:bookmarkStart w:name="_Toc433954112" w:id="14"/>
      <w:r>
        <w:rPr>
          <w:u w:val="single"/>
        </w:rPr>
        <w:t>Interpretation</w:t>
      </w:r>
      <w:r>
        <w:t>.</w:t>
      </w:r>
      <w:bookmarkEnd w:id="12"/>
      <w:bookmarkEnd w:id="13"/>
      <w:bookmarkEnd w:id="14"/>
      <w:r>
        <w:t xml:space="preserve"> </w:t>
      </w:r>
      <w:r>
        <w:fldChar w:fldCharType="begin"/>
      </w:r>
      <w:r>
        <w:instrText>tc "</w:instrText>
      </w:r>
      <w:bookmarkStart w:name="_Toc531859586" w:id="15"/>
      <w:bookmarkStart w:name="_Toc119238889" w:id="16"/>
      <w:r>
        <w:instrText>1.1</w:instrText>
      </w:r>
      <w:r>
        <w:tab/>
        <w:instrText>Interpretation</w:instrText>
      </w:r>
      <w:bookmarkEnd w:id="15"/>
      <w:bookmarkEnd w:id="16"/>
      <w:r>
        <w:instrText>" \f C \l 2</w:instrText>
      </w:r>
      <w:r>
        <w:fldChar w:fldCharType="end"/>
      </w:r>
    </w:p>
    <w:p w:rsidR="0079779A" w:rsidRDefault="003E5439" w14:paraId="6CDC3286" w14:textId="77777777">
      <w:pPr>
        <w:pStyle w:val="ArticleL3"/>
      </w:pPr>
      <w:r>
        <w:t xml:space="preserve">Capitalized terms listed in this PPA shall have the meanings set forth in </w:t>
      </w:r>
      <w:r>
        <w:rPr>
          <w:u w:val="single"/>
        </w:rPr>
        <w:t>Exhibit A - Definitions</w:t>
      </w:r>
      <w:r>
        <w:t xml:space="preserve"> or as otherwise defined in this PPA, whether in the singular or the plural or in the present or past tense.  Words not otherwise defined in this PPA shall (i) have meanings as commonly used in the English language, (ii) be given their generally accepted meaning consistent with Good Utility Practice, and (iii) be given their </w:t>
      </w:r>
      <w:proofErr w:type="spellStart"/>
      <w:r>
        <w:t>well known</w:t>
      </w:r>
      <w:proofErr w:type="spellEnd"/>
      <w:r>
        <w:t xml:space="preserve"> and generally accepted technical or trade meanings.</w:t>
      </w:r>
    </w:p>
    <w:p w:rsidR="0079779A" w:rsidRDefault="003E5439" w14:paraId="568B3C09" w14:textId="77777777">
      <w:pPr>
        <w:pStyle w:val="ArticleL3"/>
      </w:pPr>
      <w:r>
        <w:t>The following rules of interpretation shall apply:  (1) The masculine shall include the feminine and neuter; (2) references to “</w:t>
      </w:r>
      <w:r>
        <w:rPr>
          <w:u w:val="single"/>
        </w:rPr>
        <w:t>Articles</w:t>
      </w:r>
      <w:r>
        <w:t>,” “</w:t>
      </w:r>
      <w:r>
        <w:rPr>
          <w:u w:val="single"/>
        </w:rPr>
        <w:t>Sections</w:t>
      </w:r>
      <w:r>
        <w:t>” or “</w:t>
      </w:r>
      <w:r>
        <w:rPr>
          <w:u w:val="single"/>
        </w:rPr>
        <w:t>Exhibits</w:t>
      </w:r>
      <w:r>
        <w:t>” shall be to articles, sections, or exhibits of this PPA except as the context may otherwise require; (3) all Exhibits are incorporated into this PPA (</w:t>
      </w:r>
      <w:r>
        <w:rPr>
          <w:i/>
        </w:rPr>
        <w:t xml:space="preserve">provided, however, </w:t>
      </w:r>
      <w:r>
        <w:t xml:space="preserve">that in the event of a conflict with the terms of this PPA, the PPA shall control); and (4) use of the </w:t>
      </w:r>
      <w:r>
        <w:lastRenderedPageBreak/>
        <w:t>words “include” or “including” or similar words shall be interpreted as “include without limitation” or “including, without limitation.”</w:t>
      </w:r>
    </w:p>
    <w:p w:rsidR="0079779A" w:rsidRDefault="003E5439" w14:paraId="368AFAC3" w14:textId="77777777">
      <w:pPr>
        <w:pStyle w:val="ArticleL3"/>
      </w:pPr>
      <w:r>
        <w:t>This PPA was negotiated and prepared by both Parties with the advice and participation of counsel.  None of the provisions hereof shall be construed against one Party on the ground that such Party is the author of this PPA or any part hereof.</w:t>
      </w:r>
    </w:p>
    <w:p w:rsidR="0079779A" w:rsidRDefault="003E5439" w14:paraId="0CC2EE59" w14:textId="77777777">
      <w:pPr>
        <w:pStyle w:val="ArticleL2"/>
      </w:pPr>
      <w:bookmarkStart w:name="_Toc288027237" w:id="17"/>
      <w:bookmarkStart w:name="_Toc433953955" w:id="18"/>
      <w:bookmarkStart w:name="_Toc433954113" w:id="19"/>
      <w:r>
        <w:rPr>
          <w:u w:val="single"/>
        </w:rPr>
        <w:t>Interpretation with Other Agreements</w:t>
      </w:r>
      <w:bookmarkEnd w:id="17"/>
      <w:r>
        <w:fldChar w:fldCharType="begin"/>
      </w:r>
      <w:r>
        <w:instrText>tc "</w:instrText>
      </w:r>
      <w:bookmarkStart w:name="_Toc433954678" w:id="20"/>
      <w:bookmarkStart w:name="_Toc531859587" w:id="21"/>
      <w:bookmarkStart w:name="_Toc119238890" w:id="22"/>
      <w:r>
        <w:instrText>1.2</w:instrText>
      </w:r>
      <w:r>
        <w:tab/>
        <w:instrText>Interpretation with Other Agreements</w:instrText>
      </w:r>
      <w:bookmarkEnd w:id="20"/>
      <w:bookmarkEnd w:id="21"/>
      <w:bookmarkEnd w:id="22"/>
      <w:r>
        <w:instrText>” \f C \l 2</w:instrText>
      </w:r>
      <w:r>
        <w:fldChar w:fldCharType="end"/>
      </w:r>
      <w:r>
        <w:fldChar w:fldCharType="begin"/>
      </w:r>
      <w:r>
        <w:instrText xml:space="preserve"> TC </w:instrText>
      </w:r>
      <w:r>
        <w:fldChar w:fldCharType="end"/>
      </w:r>
      <w:r>
        <w:t>.</w:t>
      </w:r>
      <w:bookmarkEnd w:id="18"/>
      <w:bookmarkEnd w:id="19"/>
    </w:p>
    <w:p w:rsidR="0079779A" w:rsidRDefault="003E5439" w14:paraId="2D3E8834" w14:textId="77777777">
      <w:pPr>
        <w:pStyle w:val="ArticleL3"/>
      </w:pPr>
      <w:r>
        <w:t xml:space="preserve">This PPA does not provide authorization for Seller to interconnect the Facility or inject power into the Transmission Authority’s System.  Seller shall contract for interconnection services in accordance with the applicable Transmission Tariff.  Seller acknowledges that the Interconnection Agreement is/will be a separate contract and that (i) this PPA is not binding on the Transmission Authority, (ii) this PPA does not create any rights between Seller and the Transmission Authority, and (iii) the Interconnection Agreement does not modify the Parties’ rights and obligations under this PPA.  The applicable Transmission Authority shall be deemed to be a separate and unaffiliated contracting party for purposes of this PPA, </w:t>
      </w:r>
      <w:proofErr w:type="gramStart"/>
      <w:r>
        <w:t>regardless</w:t>
      </w:r>
      <w:proofErr w:type="gramEnd"/>
      <w:r>
        <w:t xml:space="preserve"> whether such Transmission Authority is Company or an Affiliate of Company.</w:t>
      </w:r>
    </w:p>
    <w:p w:rsidR="0079779A" w:rsidRDefault="003E5439" w14:paraId="52FBEB63" w14:textId="77777777">
      <w:pPr>
        <w:pStyle w:val="ArticleL3"/>
      </w:pPr>
      <w:r>
        <w:t xml:space="preserve">This PPA does not provide for the supply of retail power for purposes of operating the Facility, including start-up, shut-down, lighting, </w:t>
      </w:r>
      <w:proofErr w:type="gramStart"/>
      <w:r>
        <w:t>HVAC</w:t>
      </w:r>
      <w:proofErr w:type="gramEnd"/>
      <w:r>
        <w:t xml:space="preserve"> or any other purpose (“</w:t>
      </w:r>
      <w:r>
        <w:rPr>
          <w:u w:val="single"/>
        </w:rPr>
        <w:t>House Power</w:t>
      </w:r>
      <w:r>
        <w:t xml:space="preserve">”).  For the avoidance of doubt, House Power expressly excludes any Charging Energy. </w:t>
      </w:r>
      <w:r>
        <w:rPr>
          <w:rFonts w:cs="Times New Roman"/>
          <w:szCs w:val="24"/>
        </w:rPr>
        <w:t xml:space="preserve"> </w:t>
      </w:r>
      <w:r>
        <w:t xml:space="preserve">Seller shall contract with the utility providing House Power to the Site (the “Local Provider”) for the supply of House Power.  Seller acknowledges that (i) Seller must obtain House Power independently, (ii) this PPA is not binding on the Local Provider, (iii) this PPA does not create any rights between Seller and the Local Provider, and (iv) Seller’s contract for House Power does not affect the Parties’ rights and obligations under this PPA.  For purposes of this PPA, the Local Provider shall be deemed to be a separate and unaffiliated contracting party </w:t>
      </w:r>
      <w:proofErr w:type="gramStart"/>
      <w:r>
        <w:t>regardless</w:t>
      </w:r>
      <w:proofErr w:type="gramEnd"/>
      <w:r>
        <w:t xml:space="preserve"> whether the Local Provider is Company or an Affiliate of Company.    </w:t>
      </w:r>
    </w:p>
    <w:p w:rsidR="0079779A" w:rsidRDefault="003E5439" w14:paraId="25820D28" w14:textId="77777777">
      <w:pPr>
        <w:pStyle w:val="ArticleL2"/>
      </w:pPr>
      <w:bookmarkStart w:name="_Toc288027238" w:id="23"/>
      <w:bookmarkStart w:name="_Toc433953956" w:id="24"/>
      <w:bookmarkStart w:name="_Toc433954114" w:id="25"/>
      <w:r>
        <w:rPr>
          <w:u w:val="single"/>
        </w:rPr>
        <w:t>Good Faith and Fair Dealing</w:t>
      </w:r>
      <w:r>
        <w:rPr>
          <w:color w:val="000000"/>
        </w:rPr>
        <w:fldChar w:fldCharType="begin"/>
      </w:r>
      <w:r>
        <w:rPr>
          <w:color w:val="000000"/>
        </w:rPr>
        <w:instrText>tc "</w:instrText>
      </w:r>
      <w:bookmarkStart w:name="_Toc531859588" w:id="26"/>
      <w:bookmarkStart w:name="_Toc119238891" w:id="27"/>
      <w:r>
        <w:rPr>
          <w:color w:val="000000"/>
        </w:rPr>
        <w:instrText>1.3</w:instrText>
      </w:r>
      <w:r>
        <w:rPr>
          <w:color w:val="000000"/>
        </w:rPr>
        <w:tab/>
        <w:instrText>Good Faith and Fair Dealing</w:instrText>
      </w:r>
      <w:bookmarkEnd w:id="26"/>
      <w:bookmarkEnd w:id="27"/>
      <w:r>
        <w:rPr>
          <w:color w:val="000000"/>
        </w:rPr>
        <w:instrText>” \f C \l 2</w:instrText>
      </w:r>
      <w:r>
        <w:rPr>
          <w:color w:val="000000"/>
        </w:rPr>
        <w:fldChar w:fldCharType="end"/>
      </w:r>
      <w:r>
        <w:fldChar w:fldCharType="begin"/>
      </w:r>
      <w:r>
        <w:instrText xml:space="preserve"> TC </w:instrText>
      </w:r>
      <w:r>
        <w:fldChar w:fldCharType="end"/>
      </w:r>
      <w:r>
        <w:t xml:space="preserve">.  The Parties shall act reasonably and in accordance with the principles of good faith and fair dealing in the performance of this PPA.  Unless expressly provided otherwise in this PPA, (a) when this PPA specifically references the consent, approval, or similar action by a Party, such consent or approval shall not be unreasonably withheld, </w:t>
      </w:r>
      <w:proofErr w:type="gramStart"/>
      <w:r>
        <w:t>conditioned</w:t>
      </w:r>
      <w:proofErr w:type="gramEnd"/>
      <w:r>
        <w:t xml:space="preserve"> or delayed, and (b) wherever this PPA specifically gives a Party a right to determine, require, specify or take similar action with respect to a matter, such determination, requirement, specification or similar action shall be Commercially Reasonable.</w:t>
      </w:r>
      <w:bookmarkEnd w:id="23"/>
      <w:bookmarkEnd w:id="24"/>
      <w:bookmarkEnd w:id="25"/>
    </w:p>
    <w:p w:rsidR="0079779A" w:rsidRDefault="003E5439" w14:paraId="093F895B" w14:textId="77777777">
      <w:pPr>
        <w:pStyle w:val="ArticleL1"/>
        <w:rPr>
          <w:smallCaps/>
          <w:u w:val="single"/>
        </w:rPr>
      </w:pPr>
      <w:bookmarkStart w:name="_Toc288027240" w:id="28"/>
      <w:bookmarkStart w:name="_Toc433953957" w:id="29"/>
      <w:bookmarkStart w:name="_Toc433954115" w:id="30"/>
      <w:r>
        <w:t>Term and Termination</w:t>
      </w:r>
      <w:bookmarkEnd w:id="28"/>
      <w:bookmarkEnd w:id="29"/>
      <w:bookmarkEnd w:id="30"/>
      <w:r>
        <w:fldChar w:fldCharType="begin"/>
      </w:r>
      <w:r>
        <w:instrText>tc "</w:instrText>
      </w:r>
      <w:bookmarkStart w:name="_Toc531859589" w:id="31"/>
      <w:bookmarkStart w:name="_Toc119238892" w:id="32"/>
      <w:r>
        <w:instrText>Article 2 – Term and Termination</w:instrText>
      </w:r>
      <w:bookmarkEnd w:id="31"/>
      <w:bookmarkEnd w:id="32"/>
      <w:r>
        <w:instrText>” \f C \l 1</w:instrText>
      </w:r>
      <w:r>
        <w:fldChar w:fldCharType="end"/>
      </w:r>
      <w:r>
        <w:fldChar w:fldCharType="begin"/>
      </w:r>
      <w:r>
        <w:instrText xml:space="preserve"> TC </w:instrText>
      </w:r>
      <w:r>
        <w:fldChar w:fldCharType="end"/>
      </w:r>
    </w:p>
    <w:p w:rsidR="0079779A" w:rsidRDefault="003E5439" w14:paraId="65852905" w14:textId="76C0C86F">
      <w:pPr>
        <w:pStyle w:val="ArticleL2"/>
        <w:numPr>
          <w:ilvl w:val="0"/>
          <w:numId w:val="0"/>
        </w:numPr>
      </w:pPr>
      <w:r>
        <w:tab/>
        <w:t xml:space="preserve">This PPA shall become effective as of the date of its </w:t>
      </w:r>
      <w:proofErr w:type="gramStart"/>
      <w:r>
        <w:t>execution, and</w:t>
      </w:r>
      <w:proofErr w:type="gramEnd"/>
      <w:r>
        <w:t xml:space="preserve"> shall remain in full force and effect until 11:59 pm on the last Day of the calendar month during which occurs the [</w:t>
      </w:r>
      <w:r>
        <w:rPr>
          <w:highlight w:val="yellow"/>
        </w:rPr>
        <w:t>__</w:t>
      </w:r>
      <w:proofErr w:type="spellStart"/>
      <w:r>
        <w:rPr>
          <w:highlight w:val="yellow"/>
          <w:vertAlign w:val="superscript"/>
        </w:rPr>
        <w:t>th</w:t>
      </w:r>
      <w:proofErr w:type="spellEnd"/>
      <w:r>
        <w:t>] anniversary of the Commercial Operation Date (the “</w:t>
      </w:r>
      <w:r>
        <w:rPr>
          <w:u w:val="single"/>
        </w:rPr>
        <w:t>Scheduled Termination Date</w:t>
      </w:r>
      <w:r>
        <w:t xml:space="preserve">”), subject to early termination as provided in this PPA.  Applicable provisions of this PPA shall continue in effect after termination to the extent necessary to (i) provide for final billings, </w:t>
      </w:r>
      <w:proofErr w:type="gramStart"/>
      <w:r>
        <w:t>payments</w:t>
      </w:r>
      <w:proofErr w:type="gramEnd"/>
      <w:r>
        <w:t xml:space="preserve"> and adjustments, (ii) enforce or complete the duties, </w:t>
      </w:r>
      <w:r>
        <w:lastRenderedPageBreak/>
        <w:t xml:space="preserve">obligations or responsibilities of the Parties (including under </w:t>
      </w:r>
      <w:r>
        <w:rPr>
          <w:u w:val="single"/>
        </w:rPr>
        <w:t>Section 12.1(B)-(D)</w:t>
      </w:r>
      <w:r>
        <w:t xml:space="preserve">, </w:t>
      </w:r>
      <w:r>
        <w:rPr>
          <w:u w:val="single"/>
        </w:rPr>
        <w:t>Section 12.2(C)</w:t>
      </w:r>
      <w:r>
        <w:t xml:space="preserve">, </w:t>
      </w:r>
      <w:r>
        <w:rPr>
          <w:u w:val="single"/>
        </w:rPr>
        <w:t>Section 12.3(B)-(C)</w:t>
      </w:r>
      <w:r>
        <w:t xml:space="preserve">, </w:t>
      </w:r>
      <w:r>
        <w:rPr>
          <w:u w:val="single"/>
        </w:rPr>
        <w:t>Article 13</w:t>
      </w:r>
      <w:r>
        <w:t xml:space="preserve"> and </w:t>
      </w:r>
      <w:r>
        <w:rPr>
          <w:u w:val="single"/>
        </w:rPr>
        <w:t>Article 17</w:t>
      </w:r>
      <w:r>
        <w:t xml:space="preserve"> below), and (iii) address any remedies or indemnifications arising prior to termination.</w:t>
      </w:r>
    </w:p>
    <w:p w:rsidR="0079779A" w:rsidRDefault="003E5439" w14:paraId="4083912A" w14:textId="77777777">
      <w:pPr>
        <w:pStyle w:val="ArticleL1"/>
        <w:rPr>
          <w:smallCaps/>
          <w:u w:val="single"/>
        </w:rPr>
      </w:pPr>
      <w:bookmarkStart w:name="_Toc288027241" w:id="33"/>
      <w:bookmarkStart w:name="_Toc433953958" w:id="34"/>
      <w:bookmarkStart w:name="_Toc433954116" w:id="35"/>
      <w:r>
        <w:t>Facility Description</w:t>
      </w:r>
      <w:bookmarkEnd w:id="33"/>
      <w:bookmarkEnd w:id="34"/>
      <w:bookmarkEnd w:id="35"/>
      <w:r>
        <w:fldChar w:fldCharType="begin"/>
      </w:r>
      <w:r>
        <w:instrText>tc "</w:instrText>
      </w:r>
      <w:bookmarkStart w:name="_Toc531859590" w:id="36"/>
      <w:bookmarkStart w:name="_Toc119238893" w:id="37"/>
      <w:r>
        <w:instrText>Article 3 – Facility Description</w:instrText>
      </w:r>
      <w:bookmarkEnd w:id="36"/>
      <w:bookmarkEnd w:id="37"/>
      <w:r>
        <w:instrText>” \f C \l 1</w:instrText>
      </w:r>
      <w:r>
        <w:fldChar w:fldCharType="end"/>
      </w:r>
      <w:r>
        <w:fldChar w:fldCharType="begin"/>
      </w:r>
      <w:r>
        <w:instrText xml:space="preserve"> TC </w:instrText>
      </w:r>
      <w:r>
        <w:fldChar w:fldCharType="end"/>
      </w:r>
    </w:p>
    <w:p w:rsidR="0079779A" w:rsidRDefault="003E5439" w14:paraId="1264C4C3" w14:textId="77777777">
      <w:pPr>
        <w:pStyle w:val="ArticleL2"/>
      </w:pPr>
      <w:bookmarkStart w:name="_Toc288027242" w:id="38"/>
      <w:bookmarkStart w:name="_Toc433953959" w:id="39"/>
      <w:bookmarkStart w:name="_Toc433954117" w:id="40"/>
      <w:r>
        <w:rPr>
          <w:u w:val="single"/>
        </w:rPr>
        <w:t>Description</w:t>
      </w:r>
      <w:r>
        <w:rPr>
          <w:color w:val="000000"/>
        </w:rPr>
        <w:fldChar w:fldCharType="begin"/>
      </w:r>
      <w:r>
        <w:rPr>
          <w:color w:val="000000"/>
        </w:rPr>
        <w:instrText>tc "</w:instrText>
      </w:r>
      <w:bookmarkStart w:name="_Toc531859591" w:id="41"/>
      <w:bookmarkStart w:name="_Toc119238894" w:id="42"/>
      <w:r>
        <w:rPr>
          <w:color w:val="000000"/>
        </w:rPr>
        <w:instrText>3.1</w:instrText>
      </w:r>
      <w:r>
        <w:rPr>
          <w:color w:val="000000"/>
        </w:rPr>
        <w:tab/>
        <w:instrText>Description</w:instrText>
      </w:r>
      <w:bookmarkEnd w:id="41"/>
      <w:bookmarkEnd w:id="42"/>
      <w:r>
        <w:rPr>
          <w:color w:val="000000"/>
        </w:rPr>
        <w:instrText>” \f C \l 2</w:instrText>
      </w:r>
      <w:r>
        <w:rPr>
          <w:color w:val="000000"/>
        </w:rPr>
        <w:fldChar w:fldCharType="end"/>
      </w:r>
      <w:r>
        <w:fldChar w:fldCharType="begin"/>
      </w:r>
      <w:r>
        <w:instrText xml:space="preserve"> TC </w:instrText>
      </w:r>
      <w:r>
        <w:fldChar w:fldCharType="end"/>
      </w:r>
      <w:r>
        <w:t xml:space="preserve">.  Seller shall construct, interconnect, own, operate, and maintain the Facility, as further described in </w:t>
      </w:r>
      <w:r>
        <w:rPr>
          <w:u w:val="single"/>
        </w:rPr>
        <w:t>Exhibit C – Facility Description and Site Maps</w:t>
      </w:r>
      <w:r>
        <w:t xml:space="preserve">.  A scaled map that identifies the Site, the location of the Facility, the Battery Units, the Interconnection Point and Interconnection Facilities, the Point of Delivery, and other important facilities, is included in </w:t>
      </w:r>
      <w:r>
        <w:rPr>
          <w:u w:val="single"/>
        </w:rPr>
        <w:t>Exhibit C – Facility Description and Site Maps</w:t>
      </w:r>
      <w:r>
        <w:t>.</w:t>
      </w:r>
      <w:bookmarkEnd w:id="38"/>
      <w:bookmarkEnd w:id="39"/>
      <w:bookmarkEnd w:id="40"/>
    </w:p>
    <w:p w:rsidR="0079779A" w:rsidRDefault="003E5439" w14:paraId="3EDD31C6" w14:textId="77777777">
      <w:pPr>
        <w:pStyle w:val="ArticleL2"/>
      </w:pPr>
      <w:bookmarkStart w:name="_Toc288027243" w:id="43"/>
      <w:bookmarkStart w:name="_Toc433953960" w:id="44"/>
      <w:bookmarkStart w:name="_Toc433954118" w:id="45"/>
      <w:r>
        <w:rPr>
          <w:u w:val="single"/>
        </w:rPr>
        <w:t>General Design of the Facility</w:t>
      </w:r>
      <w:r>
        <w:fldChar w:fldCharType="begin"/>
      </w:r>
      <w:r>
        <w:instrText>tc "</w:instrText>
      </w:r>
      <w:bookmarkStart w:name="_Toc531859592" w:id="46"/>
      <w:bookmarkStart w:name="_Toc119238895" w:id="47"/>
      <w:r>
        <w:instrText>3.2</w:instrText>
      </w:r>
      <w:r>
        <w:tab/>
        <w:instrText>General Design of the Facility</w:instrText>
      </w:r>
      <w:bookmarkEnd w:id="46"/>
      <w:bookmarkEnd w:id="47"/>
      <w:r>
        <w:instrText>” \f C \l 2</w:instrText>
      </w:r>
      <w:r>
        <w:fldChar w:fldCharType="end"/>
      </w:r>
      <w:r>
        <w:fldChar w:fldCharType="begin"/>
      </w:r>
      <w:r>
        <w:instrText xml:space="preserve"> TC </w:instrText>
      </w:r>
      <w:r>
        <w:fldChar w:fldCharType="end"/>
      </w:r>
      <w:r>
        <w:t>.</w:t>
      </w:r>
      <w:bookmarkEnd w:id="43"/>
      <w:bookmarkEnd w:id="44"/>
      <w:bookmarkEnd w:id="45"/>
    </w:p>
    <w:p w:rsidR="0079779A" w:rsidRDefault="003E5439" w14:paraId="46CB56F7" w14:textId="77777777">
      <w:pPr>
        <w:pStyle w:val="ArticleL3"/>
      </w:pPr>
      <w:r>
        <w:t xml:space="preserve">Seller shall design, construct, operate and maintain the Facility according to Good Utility Practices and the Interconnection Agreement.  </w:t>
      </w:r>
    </w:p>
    <w:p w:rsidR="0079779A" w:rsidRDefault="003E5439" w14:paraId="01D41A00" w14:textId="77777777">
      <w:pPr>
        <w:pStyle w:val="ArticleL3"/>
      </w:pPr>
      <w:r>
        <w:t xml:space="preserve">The Facility shall include all equipment specified in </w:t>
      </w:r>
      <w:r>
        <w:rPr>
          <w:u w:val="single"/>
        </w:rPr>
        <w:t>Exhibit C - Facility Description and Site Maps</w:t>
      </w:r>
      <w:r>
        <w:t xml:space="preserve"> and otherwise necessary to fulfill Seller’s obligations under this PPA, including all equipment necessary (i) to meet the requirements of </w:t>
      </w:r>
      <w:r>
        <w:rPr>
          <w:u w:val="single"/>
        </w:rPr>
        <w:t>Exhibit I - AGC Protocols; Dispatch and Availability Notices; Data Collection; Technical Specifications</w:t>
      </w:r>
      <w:r>
        <w:t xml:space="preserve"> and </w:t>
      </w:r>
      <w:r>
        <w:rPr>
          <w:u w:val="single"/>
        </w:rPr>
        <w:t>Exhibit O – Battery Storage System Operating Procedures</w:t>
      </w:r>
      <w:r>
        <w:t>, and (ii) to interconnect successfully with the Transmission Authority’s System for the delivery of Energy to the Point of Delivery.</w:t>
      </w:r>
    </w:p>
    <w:p w:rsidR="0079779A" w:rsidRDefault="003E5439" w14:paraId="40F6246D" w14:textId="77777777">
      <w:pPr>
        <w:pStyle w:val="ArticleL3"/>
      </w:pPr>
      <w:r>
        <w:t xml:space="preserve">The Battery Storage System Nameplate Capacity shall be </w:t>
      </w:r>
      <w:r>
        <w:rPr>
          <w:highlight w:val="yellow"/>
        </w:rPr>
        <w:t>[__]</w:t>
      </w:r>
      <w:r>
        <w:t xml:space="preserve"> MW AC and [</w:t>
      </w:r>
      <w:r>
        <w:rPr>
          <w:highlight w:val="yellow"/>
        </w:rPr>
        <w:t>__</w:t>
      </w:r>
      <w:r>
        <w:t xml:space="preserve">] MWh. Seller shall certify to Company the final actual Battery Storage System Nameplate Capacity promptly following COD.  </w:t>
      </w:r>
    </w:p>
    <w:p w:rsidR="0079779A" w:rsidRDefault="003E5439" w14:paraId="3DE04CCE" w14:textId="77777777">
      <w:pPr>
        <w:pStyle w:val="ArticleL1"/>
      </w:pPr>
      <w:bookmarkStart w:name="_Toc288027244" w:id="48"/>
      <w:bookmarkStart w:name="_Toc433953961" w:id="49"/>
      <w:bookmarkStart w:name="_Toc433954119" w:id="50"/>
      <w:r>
        <w:t>Implementation</w:t>
      </w:r>
      <w:bookmarkEnd w:id="48"/>
      <w:bookmarkEnd w:id="49"/>
      <w:bookmarkEnd w:id="50"/>
      <w:r>
        <w:fldChar w:fldCharType="begin"/>
      </w:r>
      <w:r>
        <w:instrText>tc "</w:instrText>
      </w:r>
      <w:bookmarkStart w:name="_Toc531859593" w:id="51"/>
      <w:bookmarkStart w:name="_Toc119238896" w:id="52"/>
      <w:r>
        <w:instrText>Article 4 - Implementation</w:instrText>
      </w:r>
      <w:bookmarkEnd w:id="51"/>
      <w:bookmarkEnd w:id="52"/>
      <w:r>
        <w:instrText>” \f C \l 1</w:instrText>
      </w:r>
      <w:r>
        <w:fldChar w:fldCharType="end"/>
      </w:r>
      <w:r>
        <w:fldChar w:fldCharType="begin"/>
      </w:r>
      <w:r>
        <w:instrText xml:space="preserve"> TC </w:instrText>
      </w:r>
      <w:r>
        <w:fldChar w:fldCharType="end"/>
      </w:r>
    </w:p>
    <w:p w:rsidR="0079779A" w:rsidRDefault="003E5439" w14:paraId="60EF5832" w14:textId="77777777">
      <w:pPr>
        <w:pStyle w:val="ArticleL2"/>
      </w:pPr>
      <w:bookmarkStart w:name="_Toc433953962" w:id="53"/>
      <w:bookmarkStart w:name="_Toc433954120" w:id="54"/>
      <w:bookmarkStart w:name="_Toc288027245" w:id="55"/>
      <w:r>
        <w:rPr>
          <w:u w:val="single"/>
        </w:rPr>
        <w:t>Project Development</w:t>
      </w:r>
      <w:r>
        <w:fldChar w:fldCharType="begin"/>
      </w:r>
      <w:r>
        <w:instrText>tc "</w:instrText>
      </w:r>
      <w:bookmarkStart w:name="_Toc531859594" w:id="56"/>
      <w:bookmarkStart w:name="_Toc119238897" w:id="57"/>
      <w:r>
        <w:instrText>4.1</w:instrText>
      </w:r>
      <w:r>
        <w:tab/>
        <w:instrText>Project Development</w:instrText>
      </w:r>
      <w:bookmarkEnd w:id="56"/>
      <w:bookmarkEnd w:id="57"/>
      <w:r>
        <w:instrText>” \f C \l 2</w:instrText>
      </w:r>
      <w:r>
        <w:fldChar w:fldCharType="end"/>
      </w:r>
      <w:r>
        <w:fldChar w:fldCharType="begin"/>
      </w:r>
      <w:r>
        <w:instrText xml:space="preserve"> TC </w:instrText>
      </w:r>
      <w:r>
        <w:fldChar w:fldCharType="end"/>
      </w:r>
      <w:r>
        <w:rPr>
          <w:i/>
        </w:rPr>
        <w:t>.</w:t>
      </w:r>
      <w:bookmarkEnd w:id="53"/>
      <w:bookmarkEnd w:id="54"/>
    </w:p>
    <w:p w:rsidR="0079779A" w:rsidRDefault="003E5439" w14:paraId="59175C71" w14:textId="77777777">
      <w:pPr>
        <w:pStyle w:val="ArticleL3"/>
      </w:pPr>
      <w:r>
        <w:t xml:space="preserve">Seller shall enter into and perform at its expense all contracts required for (i) the engineering, procurement, construction, acquisition, manufacture, delivery, </w:t>
      </w:r>
      <w:proofErr w:type="gramStart"/>
      <w:r>
        <w:t>installation</w:t>
      </w:r>
      <w:proofErr w:type="gramEnd"/>
      <w:r>
        <w:t xml:space="preserve"> and operation of the Facility, and (ii) the storage and delivery of Energy from the Facility to the Point of Delivery (generally, the “</w:t>
      </w:r>
      <w:r>
        <w:rPr>
          <w:u w:val="single"/>
        </w:rPr>
        <w:t>Construction Contracts</w:t>
      </w:r>
      <w:r>
        <w:t xml:space="preserve">”) with qualified and experienced contractors.  Upon written request by Company, Seller shall provide copies of any or all Construction Contracts to Company.  All Construction Contracts obtained by Company shall be deemed Confidential Information subject to </w:t>
      </w:r>
      <w:r>
        <w:rPr>
          <w:u w:val="single"/>
        </w:rPr>
        <w:t>Section 20.18</w:t>
      </w:r>
      <w:r>
        <w:t xml:space="preserve"> below. </w:t>
      </w:r>
    </w:p>
    <w:p w:rsidR="0079779A" w:rsidRDefault="003E5439" w14:paraId="70423290" w14:textId="77777777">
      <w:pPr>
        <w:pStyle w:val="ArticleL3"/>
      </w:pPr>
      <w:r>
        <w:t xml:space="preserve">In its efforts to achieve COD, Seller shall use Commercially Reasonable Efforts to achieve the milestones set forth in </w:t>
      </w:r>
      <w:r>
        <w:rPr>
          <w:u w:val="single"/>
        </w:rPr>
        <w:t xml:space="preserve">Exhibit B – Construction </w:t>
      </w:r>
      <w:proofErr w:type="gramStart"/>
      <w:r>
        <w:rPr>
          <w:u w:val="single"/>
        </w:rPr>
        <w:t>Milestones</w:t>
      </w:r>
      <w:r>
        <w:t>, and</w:t>
      </w:r>
      <w:proofErr w:type="gramEnd"/>
      <w:r>
        <w:t xml:space="preserve"> shall notify Company promptly following achievement of each such milestone.</w:t>
      </w:r>
    </w:p>
    <w:p w:rsidR="0079779A" w:rsidRDefault="003E5439" w14:paraId="369AC483" w14:textId="77777777">
      <w:pPr>
        <w:pStyle w:val="ArticleL3"/>
      </w:pPr>
      <w:r>
        <w:t xml:space="preserve">Prior to the Commercial Operation Date, Seller shall (i) submit monthly progress reports to Company in a form agreed by the Parties, advising Company of the current status of each Construction Milestone, any significant developments or delays (along with an action plan for making up delays), and Seller’s best estimate of the </w:t>
      </w:r>
      <w:r>
        <w:lastRenderedPageBreak/>
        <w:t xml:space="preserve">Commercial Operation Date; (ii) provide copies of reports submitted to the Facility Lender relating to status, progress and development of the Facility, and (iii) invite Company to participate in monthly meetings to discuss the progress reports, answer questions, and assess the schedule.  Seller shall make all relevant counterparties under the Construction Contracts available to Company, upon request, in order to keep Company fully informed on the status of development.  Each report delivered to Company under this paragraph (C) shall be deemed Confidential Information subject to </w:t>
      </w:r>
      <w:r>
        <w:rPr>
          <w:u w:val="single"/>
        </w:rPr>
        <w:t>Section 20.18</w:t>
      </w:r>
      <w:r>
        <w:t xml:space="preserve">. </w:t>
      </w:r>
    </w:p>
    <w:p w:rsidR="0079779A" w:rsidRDefault="003E5439" w14:paraId="6A71955A" w14:textId="77777777">
      <w:pPr>
        <w:pStyle w:val="ArticleL3"/>
      </w:pPr>
      <w:r>
        <w:t xml:space="preserve">Upon request, Company shall have the right to monitor the construction, start-up, testing, and operation of the Facility at the Site to verify compliance with this PPA, </w:t>
      </w:r>
      <w:r>
        <w:rPr>
          <w:i/>
        </w:rPr>
        <w:t xml:space="preserve">provided, however, </w:t>
      </w:r>
      <w:r>
        <w:t xml:space="preserve">that Company shall comply with all of Seller’s applicable safety and health rules and requirements. </w:t>
      </w:r>
    </w:p>
    <w:p w:rsidR="0079779A" w:rsidRDefault="003E5439" w14:paraId="227B8DA4" w14:textId="77777777">
      <w:pPr>
        <w:pStyle w:val="ArticleL3"/>
      </w:pPr>
      <w:r>
        <w:t xml:space="preserve">Neither Company’s review of Construction Contracts and Seller’s reports, nor its discussions with Seller and its contractors, nor its monitoring of development and construction of the Facility, shall be construed as an endorsement by Company of the design, engineering, construction or testing thereof nor as any express or implied warranty as to the performance, safety, durability, or reliability of the Facility. </w:t>
      </w:r>
    </w:p>
    <w:p w:rsidR="0079779A" w:rsidRDefault="003E5439" w14:paraId="78F58E49" w14:textId="77777777">
      <w:pPr>
        <w:pStyle w:val="ArticleL2"/>
      </w:pPr>
      <w:bookmarkStart w:name="_Toc433953963" w:id="58"/>
      <w:bookmarkStart w:name="_Toc433954121" w:id="59"/>
      <w:r>
        <w:rPr>
          <w:u w:val="single"/>
        </w:rPr>
        <w:t>Environmental Matters</w:t>
      </w:r>
      <w:r>
        <w:fldChar w:fldCharType="begin"/>
      </w:r>
      <w:r>
        <w:instrText>tc "</w:instrText>
      </w:r>
      <w:bookmarkStart w:name="_Toc531859595" w:id="60"/>
      <w:bookmarkStart w:name="_Toc119238898" w:id="61"/>
      <w:r>
        <w:instrText>4.2</w:instrText>
      </w:r>
      <w:r>
        <w:tab/>
        <w:instrText>Environmental Matters</w:instrText>
      </w:r>
      <w:bookmarkEnd w:id="60"/>
      <w:bookmarkEnd w:id="61"/>
      <w:r>
        <w:instrText>” \f C \l 2</w:instrText>
      </w:r>
      <w:r>
        <w:fldChar w:fldCharType="end"/>
      </w:r>
      <w:r>
        <w:fldChar w:fldCharType="begin"/>
      </w:r>
      <w:r>
        <w:instrText xml:space="preserve"> TC </w:instrText>
      </w:r>
      <w:r>
        <w:fldChar w:fldCharType="end"/>
      </w:r>
      <w:r>
        <w:rPr>
          <w:i/>
        </w:rPr>
        <w:t>.</w:t>
      </w:r>
      <w:bookmarkEnd w:id="58"/>
      <w:bookmarkEnd w:id="59"/>
    </w:p>
    <w:p w:rsidR="0079779A" w:rsidRDefault="003E5439" w14:paraId="7F60922F" w14:textId="77777777">
      <w:pPr>
        <w:pStyle w:val="ArticleL3"/>
      </w:pPr>
      <w:r>
        <w:t>No later than sixty (60) Days following PUC Approval, Seller shall complete and provide to Company a comprehensive independent “</w:t>
      </w:r>
      <w:r>
        <w:rPr>
          <w:u w:val="single"/>
        </w:rPr>
        <w:t>Phase I</w:t>
      </w:r>
      <w:r>
        <w:t xml:space="preserve">” environmental site assessment of the Site that is conducted in compliance with ASTM E1527-13 or E2257-16, as applicable (including associated raw data, if requested by Company), which report shall have been prepared as of a reasonably proximate-time such that it reflects the then-current conditions of the site.  Seller shall notify Company promptly (i) if (and to what extent) any Environmental Contamination on the Site will preclude or interfere with Seller’s ability to perform its obligations under this PPA, and (ii) Seller’s plan for remediation thereof that would allow Seller to perform this PPA as and when due.  The Phase I report delivered to Company under this paragraph shall be deemed Confidential Information for purposes of </w:t>
      </w:r>
      <w:r>
        <w:rPr>
          <w:u w:val="single"/>
        </w:rPr>
        <w:t>Section 20.18</w:t>
      </w:r>
      <w:r>
        <w:t>.</w:t>
      </w:r>
    </w:p>
    <w:p w:rsidR="0079779A" w:rsidRDefault="003E5439" w14:paraId="36D50518" w14:textId="77777777">
      <w:pPr>
        <w:pStyle w:val="ArticleL3"/>
      </w:pPr>
      <w:r>
        <w:t xml:space="preserve">Throughout the Term, Seller promptly shall </w:t>
      </w:r>
    </w:p>
    <w:p w:rsidR="0079779A" w:rsidRDefault="003E5439" w14:paraId="2531327A" w14:textId="77777777">
      <w:pPr>
        <w:pStyle w:val="ArticleL4"/>
      </w:pPr>
      <w:r>
        <w:t xml:space="preserve">disclose to Company and remediate, at Seller’s sole cost and expense, any Environmental Contamination identified at the </w:t>
      </w:r>
      <w:proofErr w:type="gramStart"/>
      <w:r>
        <w:t>Site;</w:t>
      </w:r>
      <w:proofErr w:type="gramEnd"/>
      <w:r>
        <w:t xml:space="preserve"> </w:t>
      </w:r>
    </w:p>
    <w:p w:rsidR="0079779A" w:rsidRDefault="003E5439" w14:paraId="6B6A341B" w14:textId="77777777">
      <w:pPr>
        <w:pStyle w:val="ArticleL4"/>
      </w:pPr>
      <w:r>
        <w:t>provide to Company copies of any further environmental assessments or investigations of the Site (including associated raw data, if requested by Company); and</w:t>
      </w:r>
    </w:p>
    <w:p w:rsidR="0079779A" w:rsidRDefault="003E5439" w14:paraId="645DDC14" w14:textId="77777777">
      <w:pPr>
        <w:pStyle w:val="ArticleL4"/>
      </w:pPr>
      <w:r>
        <w:t>disclose to Company the existence of any enforcement, legal, or regulatory action or proceeding relating to any alleged presence of Environmental Contamination and/or the alleged violation of any Applicable Law related to protection of human health, the environment, or natural resources, including protected species.</w:t>
      </w:r>
    </w:p>
    <w:p w:rsidR="0079779A" w:rsidRDefault="003E5439" w14:paraId="7FD0D73C" w14:textId="77777777">
      <w:pPr>
        <w:pStyle w:val="ArticleL3"/>
      </w:pPr>
      <w:r>
        <w:t>For purposes hereof:</w:t>
      </w:r>
    </w:p>
    <w:p w:rsidR="0079779A" w:rsidRDefault="003E5439" w14:paraId="09DE0F30" w14:textId="77777777">
      <w:pPr>
        <w:pStyle w:val="ArticleL4"/>
      </w:pPr>
      <w:r>
        <w:t>“</w:t>
      </w:r>
      <w:r>
        <w:rPr>
          <w:u w:val="single"/>
        </w:rPr>
        <w:t>Environmental Contamination</w:t>
      </w:r>
      <w:r>
        <w:t xml:space="preserve">” means the introduction or presence of Hazardous Materials at such levels, </w:t>
      </w:r>
      <w:proofErr w:type="gramStart"/>
      <w:r>
        <w:t>quantities</w:t>
      </w:r>
      <w:proofErr w:type="gramEnd"/>
      <w:r>
        <w:t xml:space="preserve"> or location, or of such form or </w:t>
      </w:r>
      <w:r>
        <w:lastRenderedPageBreak/>
        <w:t>character, that (i) requires remediation under Applicable Law, (ii) present a material risk that the Site will not be available or usable for the purposes contemplated by this PPA, and/or (iii) will preclude or interfere with Seller’s ability to perform its obligations under this PPA as and when due.</w:t>
      </w:r>
    </w:p>
    <w:p w:rsidR="0079779A" w:rsidRDefault="003E5439" w14:paraId="26F9579E" w14:textId="77777777">
      <w:pPr>
        <w:pStyle w:val="ArticleL4"/>
      </w:pPr>
      <w:r>
        <w:t>“</w:t>
      </w:r>
      <w:r>
        <w:rPr>
          <w:u w:val="single"/>
        </w:rPr>
        <w:t>Hazardous Materials</w:t>
      </w:r>
      <w:r>
        <w:t xml:space="preserve">” means any substance, contaminant, chemical, material, gas, or particulate matter that is regulated by any Governmental Authority as an environmental pollutant or which is deemed or may be deemed hazardous, dangerous, damaging or toxic to public health, public welfare, or the natural environment (including protection of non-human forms of life, land, water, groundwater, and air), including any material or substance that is (i) defined as “toxic,” “polluting,” “hazardous waste,” “hazardous material,” “hazardous substance,” “extremely hazardous waste,” “solid waste” or “restricted hazardous waste” under any provision of Applicable Law; (ii) petroleum, including any fraction, derivative or additive; (iii) asbestos; (iv) polychlorinated biphenyls; (v) per- and </w:t>
      </w:r>
      <w:proofErr w:type="spellStart"/>
      <w:r>
        <w:t>polyfluoroalky</w:t>
      </w:r>
      <w:proofErr w:type="spellEnd"/>
      <w:r>
        <w:t xml:space="preserve"> substances; (vi) radioactive material; (vi) designated as a “hazardous substance” pursuant to the Clean Water Act, 33 U.S.C. §1251 </w:t>
      </w:r>
      <w:r>
        <w:rPr>
          <w:i/>
        </w:rPr>
        <w:t>et seq.</w:t>
      </w:r>
      <w:r>
        <w:t xml:space="preserve"> (33 U.S.C. §1251); (vii) defined as a “hazardous waste” pursuant to the Resource Conservation and Recovery Act, 42 U.S.C. §6901 </w:t>
      </w:r>
      <w:r>
        <w:rPr>
          <w:i/>
        </w:rPr>
        <w:t>et seq.</w:t>
      </w:r>
      <w:r>
        <w:t xml:space="preserve"> (42 U.S.C. §6901); (viii) defined as a “hazardous substance” pursuant to the Comprehensive Environmental Response, Compensation, and Liability Act, 42 U.S.C. §9601 </w:t>
      </w:r>
      <w:r>
        <w:rPr>
          <w:i/>
        </w:rPr>
        <w:t>et seq.</w:t>
      </w:r>
      <w:r>
        <w:t xml:space="preserve"> (42 U.S.C. §9601); (ix) defined as a “chemical substance” under the Toxic Substances Control Act, 15 U.S.C. §2601 </w:t>
      </w:r>
      <w:r>
        <w:rPr>
          <w:i/>
        </w:rPr>
        <w:t>et seq.</w:t>
      </w:r>
      <w:r>
        <w:t xml:space="preserve"> (15 U.S.C. §2601); or (x) defined as a pesticide under the Federal Insecticide, Fungicide, and Rodenticide Act, 7 U.S.C. §136 </w:t>
      </w:r>
      <w:r>
        <w:rPr>
          <w:i/>
        </w:rPr>
        <w:t>et seq.</w:t>
      </w:r>
      <w:r>
        <w:t xml:space="preserve"> (7 U.S.C. §136).</w:t>
      </w:r>
    </w:p>
    <w:p w:rsidR="0079779A" w:rsidRDefault="003E5439" w14:paraId="46A2FE32" w14:textId="77777777">
      <w:pPr>
        <w:pStyle w:val="ArticleL2"/>
      </w:pPr>
      <w:bookmarkStart w:name="_Toc433953964" w:id="62"/>
      <w:bookmarkStart w:name="_Toc433954122" w:id="63"/>
      <w:r>
        <w:rPr>
          <w:u w:val="single"/>
        </w:rPr>
        <w:t>Permits</w:t>
      </w:r>
      <w:r>
        <w:fldChar w:fldCharType="begin"/>
      </w:r>
      <w:r>
        <w:instrText>tc "</w:instrText>
      </w:r>
      <w:bookmarkStart w:name="_Toc531859596" w:id="64"/>
      <w:bookmarkStart w:name="_Toc119238899" w:id="65"/>
      <w:r>
        <w:instrText>4.3</w:instrText>
      </w:r>
      <w:r>
        <w:tab/>
        <w:instrText>Permits</w:instrText>
      </w:r>
      <w:bookmarkEnd w:id="64"/>
      <w:bookmarkEnd w:id="65"/>
      <w:r>
        <w:instrText>” \f C \l 2</w:instrText>
      </w:r>
      <w:r>
        <w:fldChar w:fldCharType="end"/>
      </w:r>
      <w:r>
        <w:fldChar w:fldCharType="begin"/>
      </w:r>
      <w:r>
        <w:instrText xml:space="preserve"> TC </w:instrText>
      </w:r>
      <w:r>
        <w:fldChar w:fldCharType="end"/>
      </w:r>
      <w:r>
        <w:rPr>
          <w:i/>
        </w:rPr>
        <w:t>.</w:t>
      </w:r>
      <w:bookmarkEnd w:id="62"/>
      <w:bookmarkEnd w:id="63"/>
    </w:p>
    <w:p w:rsidR="0079779A" w:rsidRDefault="003E5439" w14:paraId="75FEAE09" w14:textId="77777777">
      <w:pPr>
        <w:pStyle w:val="ArticleL3"/>
      </w:pPr>
      <w:r>
        <w:t xml:space="preserve">Seller shall obtain and pay for all Permits necessary under Applicable Law or advisable pursuant to Good Utility Practice for the construction, ownership, operation and maintenance of the Facility and the charging and delivery of the products and services required by this PPA.  Seller shall keep Company informed as to the status of its permitting efforts and shall provide Company the opportunity to review and comment on major applications for draft and final Permits.  Seller shall promptly inform Company of (i) any Permits which Seller is unable to obtain, that are delayed, limited, suspended, </w:t>
      </w:r>
      <w:proofErr w:type="gramStart"/>
      <w:r>
        <w:t>terminated</w:t>
      </w:r>
      <w:proofErr w:type="gramEnd"/>
      <w:r>
        <w:t xml:space="preserve"> or otherwise constrained, along with a statement of whether and to what extent this circumstance may limit or preclude Seller’s ability to perform under this PPA, and (ii) Seller’s plan to overcome such issue(s) to allow Seller to perform this PPA as and when due.  Company shall have the right to inspect and obtain copies of all Permits held by Seller.</w:t>
      </w:r>
    </w:p>
    <w:p w:rsidR="0079779A" w:rsidRDefault="003E5439" w14:paraId="4667825C" w14:textId="77777777">
      <w:pPr>
        <w:pStyle w:val="ArticleL3"/>
      </w:pPr>
      <w:r>
        <w:t xml:space="preserve">Seller represents and warrants to Company that, except for those Permits identified in </w:t>
      </w:r>
      <w:r>
        <w:rPr>
          <w:u w:val="single"/>
        </w:rPr>
        <w:t>Exhibit F - Seller’s Needed Permits</w:t>
      </w:r>
      <w:r>
        <w:t xml:space="preserve"> (each of which Seller anticipates will be obtained by Seller in the ordinary course of business not later than the applicable date set forth in </w:t>
      </w:r>
      <w:r>
        <w:rPr>
          <w:u w:val="single"/>
        </w:rPr>
        <w:t>Exhibit F – Seller’s Needed Permits</w:t>
      </w:r>
      <w:r>
        <w:t xml:space="preserve">), all Permits and other actions required or recommended by applicable Governmental Authorities to authorize Seller’s </w:t>
      </w:r>
      <w:r>
        <w:lastRenderedPageBreak/>
        <w:t xml:space="preserve">execution, delivery and performance of this PPA have been duly obtained and are in full force and effect. </w:t>
      </w:r>
    </w:p>
    <w:p w:rsidR="0079779A" w:rsidRDefault="003E5439" w14:paraId="0C00DD44" w14:textId="77777777">
      <w:pPr>
        <w:pStyle w:val="ArticleL3"/>
      </w:pPr>
      <w:r>
        <w:t>Throughout the Term, Seller promptly shall disclose to Company the existence of any enforcement, legal, or regulatory action or proceeding relating to the alleged violation of any Permit held by Seller, which proceeding (if successful) could materially interfere with Seller’s performance of this PPA.</w:t>
      </w:r>
    </w:p>
    <w:p w:rsidR="0079779A" w:rsidRDefault="003E5439" w14:paraId="18352504" w14:textId="77777777">
      <w:pPr>
        <w:pStyle w:val="ArticleL3"/>
      </w:pPr>
      <w:r>
        <w:t>For purposes hereof, “</w:t>
      </w:r>
      <w:r>
        <w:rPr>
          <w:u w:val="single"/>
        </w:rPr>
        <w:t>Permits</w:t>
      </w:r>
      <w:r>
        <w:t xml:space="preserve">” means all applicable construction, land use, air quality, emissions control, environmental, protected species, and other permits, </w:t>
      </w:r>
      <w:proofErr w:type="gramStart"/>
      <w:r>
        <w:t>licenses</w:t>
      </w:r>
      <w:proofErr w:type="gramEnd"/>
      <w:r>
        <w:t xml:space="preserve"> and approvals from any Governmental Authority for construction, ownership, operation and maintenance of the Facility and the charging and delivery of Energy therefrom.</w:t>
      </w:r>
    </w:p>
    <w:p w:rsidR="0079779A" w:rsidRDefault="003E5439" w14:paraId="49D9BD7B" w14:textId="77777777">
      <w:pPr>
        <w:pStyle w:val="ArticleL2"/>
      </w:pPr>
      <w:bookmarkStart w:name="_Toc433953965" w:id="66"/>
      <w:bookmarkStart w:name="_Toc433954123" w:id="67"/>
      <w:r>
        <w:rPr>
          <w:u w:val="single"/>
        </w:rPr>
        <w:t>Safety Requirements; Governmental Inspections</w:t>
      </w:r>
      <w:r>
        <w:rPr>
          <w:color w:val="000000"/>
        </w:rPr>
        <w:fldChar w:fldCharType="begin"/>
      </w:r>
      <w:r>
        <w:rPr>
          <w:color w:val="000000"/>
        </w:rPr>
        <w:instrText>tc "</w:instrText>
      </w:r>
      <w:bookmarkStart w:name="_Toc531859597" w:id="68"/>
      <w:bookmarkStart w:name="_Toc119238900" w:id="69"/>
      <w:r>
        <w:rPr>
          <w:color w:val="000000"/>
        </w:rPr>
        <w:instrText>4.4</w:instrText>
      </w:r>
      <w:r>
        <w:rPr>
          <w:color w:val="000000"/>
        </w:rPr>
        <w:tab/>
        <w:instrText>Safety Requirements; Governmental Inspections</w:instrText>
      </w:r>
      <w:bookmarkEnd w:id="68"/>
      <w:bookmarkEnd w:id="69"/>
      <w:r>
        <w:rPr>
          <w:color w:val="000000"/>
        </w:rPr>
        <w:instrText>” \f C \l 2</w:instrText>
      </w:r>
      <w:r>
        <w:rPr>
          <w:color w:val="000000"/>
        </w:rPr>
        <w:fldChar w:fldCharType="end"/>
      </w:r>
      <w:r>
        <w:fldChar w:fldCharType="begin"/>
      </w:r>
      <w:r>
        <w:instrText xml:space="preserve"> TC </w:instrText>
      </w:r>
      <w:r>
        <w:fldChar w:fldCharType="end"/>
      </w:r>
      <w:r>
        <w:rPr>
          <w:i/>
        </w:rPr>
        <w:t>.</w:t>
      </w:r>
      <w:bookmarkEnd w:id="55"/>
      <w:r>
        <w:t xml:space="preserve">  Seller shall, and shall cause its Affiliates and contractors to, design and construct the Facility and conduct all work or cause all work in connection therewith to be conducted in accordance with the Safety Requirements.  Seller shall, and shall cause its Affiliates and contractors to, take all actions to comply with the Safety Requirements.  Seller shall notify Company (i) sufficiently in advance of any known upcoming significant inspections by any Governmental Authority relating to the Facility, to allow Company the opportunity to attend, and (ii) promptly after any unscheduled or impromptu inspection with a description of the nature and outcome of such inspection.</w:t>
      </w:r>
      <w:bookmarkEnd w:id="66"/>
      <w:bookmarkEnd w:id="67"/>
    </w:p>
    <w:p w:rsidR="0079779A" w:rsidRDefault="003E5439" w14:paraId="4146E5E9" w14:textId="77777777">
      <w:pPr>
        <w:pStyle w:val="ArticleL2"/>
      </w:pPr>
      <w:bookmarkStart w:name="_Toc433953966" w:id="70"/>
      <w:bookmarkStart w:name="_Toc433954124" w:id="71"/>
      <w:bookmarkStart w:name="_Toc288027247" w:id="72"/>
      <w:r>
        <w:rPr>
          <w:u w:val="single"/>
        </w:rPr>
        <w:t>Commercial Operation</w:t>
      </w:r>
      <w:r>
        <w:t>.</w:t>
      </w:r>
      <w:bookmarkEnd w:id="70"/>
      <w:bookmarkEnd w:id="71"/>
      <w:r>
        <w:t xml:space="preserve"> </w:t>
      </w:r>
      <w:r>
        <w:fldChar w:fldCharType="begin"/>
      </w:r>
      <w:r>
        <w:instrText>tc "</w:instrText>
      </w:r>
      <w:bookmarkStart w:name="_Toc531859598" w:id="73"/>
      <w:bookmarkStart w:name="_Toc119238901" w:id="74"/>
      <w:r>
        <w:instrText>4.5</w:instrText>
      </w:r>
      <w:r>
        <w:tab/>
        <w:instrText>Commercial Operation</w:instrText>
      </w:r>
      <w:bookmarkEnd w:id="73"/>
      <w:bookmarkEnd w:id="74"/>
      <w:r>
        <w:instrText>” \f C \l 2</w:instrText>
      </w:r>
      <w:r>
        <w:fldChar w:fldCharType="end"/>
      </w:r>
      <w:r>
        <w:fldChar w:fldCharType="begin"/>
      </w:r>
      <w:r>
        <w:instrText xml:space="preserve"> TC </w:instrText>
      </w:r>
      <w:r>
        <w:fldChar w:fldCharType="end"/>
      </w:r>
      <w:r>
        <w:t xml:space="preserve">  </w:t>
      </w:r>
    </w:p>
    <w:p w:rsidR="0079779A" w:rsidRDefault="003E5439" w14:paraId="57EEE765" w14:textId="77777777">
      <w:pPr>
        <w:pStyle w:val="ArticleL3"/>
      </w:pPr>
      <w:r>
        <w:t>Seller shall cause COD to occur no later than [</w:t>
      </w:r>
      <w:r>
        <w:rPr>
          <w:highlight w:val="yellow"/>
        </w:rPr>
        <w:t>_______,</w:t>
      </w:r>
      <w:r>
        <w:t xml:space="preserve"> 20</w:t>
      </w:r>
      <w:r>
        <w:rPr>
          <w:highlight w:val="yellow"/>
        </w:rPr>
        <w:t>__</w:t>
      </w:r>
      <w:r>
        <w:t>] (the “</w:t>
      </w:r>
      <w:r>
        <w:rPr>
          <w:u w:val="single"/>
        </w:rPr>
        <w:t>Target COD</w:t>
      </w:r>
      <w:r>
        <w:t>”).  Company shall not be obligated to accept and establish a Commercial Operation Date earlier than [</w:t>
      </w:r>
      <w:r>
        <w:rPr>
          <w:highlight w:val="yellow"/>
        </w:rPr>
        <w:t>_______,</w:t>
      </w:r>
      <w:r>
        <w:t xml:space="preserve"> 20</w:t>
      </w:r>
      <w:r>
        <w:rPr>
          <w:highlight w:val="yellow"/>
        </w:rPr>
        <w:t>__</w:t>
      </w:r>
      <w:r>
        <w:t>] (</w:t>
      </w:r>
      <w:r>
        <w:rPr>
          <w:b/>
          <w:i/>
        </w:rPr>
        <w:t>insert date that is [45] days prior to Target COD)</w:t>
      </w:r>
      <w:r>
        <w:t>.</w:t>
      </w:r>
    </w:p>
    <w:p w:rsidR="0079779A" w:rsidRDefault="003E5439" w14:paraId="03300009" w14:textId="77777777">
      <w:pPr>
        <w:pStyle w:val="ArticleL3"/>
      </w:pPr>
      <w:r>
        <w:t>Seller shall notify Company of the date on which Seller believes the Facility has achieved Commercial Operation (a “</w:t>
      </w:r>
      <w:r>
        <w:rPr>
          <w:u w:val="single"/>
        </w:rPr>
        <w:t>COD Notice</w:t>
      </w:r>
      <w:r>
        <w:t xml:space="preserve">”).  A COD Notice shall include all necessary supporting documentation of the satisfaction or occurrence of all COD Conditions.  Company shall have ten (10) Business Days to review a COD Notice and raise any Commercially Reasonable objection to Seller’s satisfaction of any of the COD Conditions, </w:t>
      </w:r>
      <w:r>
        <w:rPr>
          <w:i/>
        </w:rPr>
        <w:t>provided, however</w:t>
      </w:r>
      <w:r>
        <w:t xml:space="preserve">, that Seller’s COD Notice shall be deemed accepted by Company as of the date of delivery if Company fails to object within such time period.  Seller may notify Company of completion of one or more COD Conditions on an individual </w:t>
      </w:r>
      <w:r>
        <w:lastRenderedPageBreak/>
        <w:t xml:space="preserve">and incremental basis prior to COD, </w:t>
      </w:r>
      <w:r>
        <w:rPr>
          <w:i/>
        </w:rPr>
        <w:t xml:space="preserve">provided, however, </w:t>
      </w:r>
      <w:r>
        <w:t xml:space="preserve">that Company shall in all cases have up to ten (10) Business Days to review and object to each such notice. </w:t>
      </w:r>
    </w:p>
    <w:p w:rsidR="0079779A" w:rsidRDefault="003E5439" w14:paraId="637E13C9" w14:textId="77777777">
      <w:pPr>
        <w:pStyle w:val="ArticleL3"/>
      </w:pPr>
      <w:r>
        <w:t>For purposes hereof:</w:t>
      </w:r>
    </w:p>
    <w:p w:rsidR="0079779A" w:rsidRDefault="003E5439" w14:paraId="76CA00E7" w14:textId="77777777">
      <w:pPr>
        <w:pStyle w:val="ArticleL4"/>
      </w:pPr>
      <w:r>
        <w:t>the “</w:t>
      </w:r>
      <w:r>
        <w:rPr>
          <w:u w:val="single"/>
        </w:rPr>
        <w:t>Commercial Operation Date</w:t>
      </w:r>
      <w:r>
        <w:t>” or “</w:t>
      </w:r>
      <w:r>
        <w:rPr>
          <w:u w:val="single"/>
        </w:rPr>
        <w:t>COD</w:t>
      </w:r>
      <w:r>
        <w:t xml:space="preserve">” means 12:01 am on the Day after which Seller’s COD Notice has been accepted by Company or deemed accepted by Company pursuant to </w:t>
      </w:r>
      <w:r>
        <w:rPr>
          <w:u w:val="single"/>
        </w:rPr>
        <w:t>Section 4.5(B</w:t>
      </w:r>
      <w:proofErr w:type="gramStart"/>
      <w:r>
        <w:rPr>
          <w:u w:val="single"/>
        </w:rPr>
        <w:t>)</w:t>
      </w:r>
      <w:r>
        <w:t>;  and</w:t>
      </w:r>
      <w:proofErr w:type="gramEnd"/>
    </w:p>
    <w:p w:rsidR="0079779A" w:rsidRDefault="003E5439" w14:paraId="3E918A90" w14:textId="77777777">
      <w:pPr>
        <w:pStyle w:val="ArticleL4"/>
      </w:pPr>
      <w:r>
        <w:t>the “</w:t>
      </w:r>
      <w:r>
        <w:rPr>
          <w:u w:val="single"/>
        </w:rPr>
        <w:t>COD Conditions</w:t>
      </w:r>
      <w:r>
        <w:t>” are:</w:t>
      </w:r>
    </w:p>
    <w:p w:rsidR="0079779A" w:rsidRDefault="003E5439" w14:paraId="707D9ED6" w14:textId="77777777">
      <w:pPr>
        <w:pStyle w:val="ArticleL3"/>
        <w:numPr>
          <w:ilvl w:val="2"/>
          <w:numId w:val="33"/>
        </w:numPr>
      </w:pPr>
      <w:r>
        <w:t>an officer of Seller, authorized to bind Seller and who is familiar with the Facility, has confirmed in writing that (1) all necessary and material Permits have been obtained, are in full force and effect, and the entity granting the Permit has not placed any temporary or conditional restrictions or limitations on the Facility or its operation (2) Seller is in compliance with this PPA in all material respects, and (3) the Facility is available to commence normal operations in accordance with Seller’s operating agreements, Construction Contracts, and applicable manufacturers’ warranties;</w:t>
      </w:r>
    </w:p>
    <w:p w:rsidR="0079779A" w:rsidRDefault="003E5439" w14:paraId="1E43607F" w14:textId="77777777">
      <w:pPr>
        <w:pStyle w:val="ArticleL3"/>
        <w:numPr>
          <w:ilvl w:val="2"/>
          <w:numId w:val="33"/>
        </w:numPr>
      </w:pPr>
      <w:r>
        <w:t xml:space="preserve">Seller has made all necessary arrangements to obtain and pay the Local Provider for House </w:t>
      </w:r>
      <w:proofErr w:type="gramStart"/>
      <w:r>
        <w:t>Power;</w:t>
      </w:r>
      <w:proofErr w:type="gramEnd"/>
    </w:p>
    <w:p w:rsidR="0079779A" w:rsidRDefault="003E5439" w14:paraId="19D99938" w14:textId="77777777">
      <w:pPr>
        <w:pStyle w:val="ArticleL3"/>
        <w:numPr>
          <w:ilvl w:val="2"/>
          <w:numId w:val="33"/>
        </w:numPr>
      </w:pPr>
      <w:r>
        <w:t xml:space="preserve">Seller and the Transmission Authority have executed the Interconnection Agreement, and Seller has received no notice of breach thereof from the Transmission Authority, </w:t>
      </w:r>
    </w:p>
    <w:p w:rsidR="0079779A" w:rsidRDefault="003E5439" w14:paraId="4BD7ABD8" w14:textId="77777777">
      <w:pPr>
        <w:pStyle w:val="ArticleL3"/>
        <w:numPr>
          <w:ilvl w:val="2"/>
          <w:numId w:val="33"/>
        </w:numPr>
      </w:pPr>
      <w:r>
        <w:t xml:space="preserve">the Facility is interconnected to the Transmission Authority’s System, and has been fully tested, achieved initial synchronization, and been successfully operated at charging and dispatch levels acceptable to the Transmission Authority, without experiencing any abnormal or unsafe operating conditions on any interconnected system, </w:t>
      </w:r>
    </w:p>
    <w:p w:rsidR="0079779A" w:rsidRDefault="003E5439" w14:paraId="2BE867A5" w14:textId="77777777">
      <w:pPr>
        <w:pStyle w:val="ArticleL3"/>
        <w:numPr>
          <w:ilvl w:val="2"/>
          <w:numId w:val="33"/>
        </w:numPr>
      </w:pPr>
      <w:r>
        <w:t xml:space="preserve">Seller has made all arrangements necessary to deliver Energy from the Facility to the Point of Delivery during the </w:t>
      </w:r>
      <w:proofErr w:type="gramStart"/>
      <w:r>
        <w:t>Term;</w:t>
      </w:r>
      <w:proofErr w:type="gramEnd"/>
    </w:p>
    <w:p w:rsidR="0079779A" w:rsidRDefault="003E5439" w14:paraId="0DDCE72E" w14:textId="77777777">
      <w:pPr>
        <w:pStyle w:val="ArticleL3"/>
        <w:numPr>
          <w:ilvl w:val="2"/>
          <w:numId w:val="33"/>
        </w:numPr>
      </w:pPr>
      <w:r>
        <w:t xml:space="preserve"> Seller has obtained and provided to Company an independent registered professional engineer’s certification stating that the Facility has been completed in all material respects, except for “punch list” items that do not have a Material Adverse Effect on the ability of the Facility to operate for its intended purpose and are not required for the safe operation of the Facility or otherwise affect the capacity, efficiency, reliability, operability, safety or mechanical or electrical integrity of the Facility;</w:t>
      </w:r>
    </w:p>
    <w:p w:rsidR="0079779A" w:rsidRDefault="003E5439" w14:paraId="6E9D9910" w14:textId="77777777">
      <w:pPr>
        <w:pStyle w:val="ArticleL3"/>
        <w:numPr>
          <w:ilvl w:val="2"/>
          <w:numId w:val="33"/>
        </w:numPr>
      </w:pPr>
      <w:r>
        <w:t xml:space="preserve">Seller has provided to Company either the certifications required by 4 CCR 723-3668 or successor rule requiring Seller to provide certain certifications to Company prior to achieving commercial operation or suitable evidence that the Facility is exempt from such </w:t>
      </w:r>
      <w:proofErr w:type="gramStart"/>
      <w:r>
        <w:t>rule;</w:t>
      </w:r>
      <w:proofErr w:type="gramEnd"/>
      <w:r>
        <w:t xml:space="preserve">     </w:t>
      </w:r>
    </w:p>
    <w:p w:rsidR="0079779A" w:rsidRDefault="003E5439" w14:paraId="2F05F459" w14:textId="77777777">
      <w:pPr>
        <w:pStyle w:val="ArticleL3"/>
        <w:numPr>
          <w:ilvl w:val="2"/>
          <w:numId w:val="33"/>
        </w:numPr>
      </w:pPr>
      <w:r>
        <w:t xml:space="preserve">Seller has demonstrated the functionality and reliability of the Facility’s communications systems and AGC interface with Company’s EMCC, the capability of the </w:t>
      </w:r>
      <w:r>
        <w:lastRenderedPageBreak/>
        <w:t xml:space="preserve">Facility to receive and respond to signals from Company’s SCADA System, the accuracy of Electric Metering Devices and their ability to communicate with the </w:t>
      </w:r>
      <w:proofErr w:type="gramStart"/>
      <w:r>
        <w:t>Company;</w:t>
      </w:r>
      <w:proofErr w:type="gramEnd"/>
      <w:r>
        <w:t xml:space="preserve">  </w:t>
      </w:r>
    </w:p>
    <w:p w:rsidR="0079779A" w:rsidRDefault="003E5439" w14:paraId="127BC5CA" w14:textId="77777777">
      <w:pPr>
        <w:pStyle w:val="ArticleL3"/>
        <w:numPr>
          <w:ilvl w:val="2"/>
          <w:numId w:val="33"/>
        </w:numPr>
      </w:pPr>
      <w:r>
        <w:t xml:space="preserve">Seller has successfully completed a Commercial Operation Test in accordance with </w:t>
      </w:r>
      <w:r>
        <w:rPr>
          <w:u w:val="single"/>
        </w:rPr>
        <w:t>Section 5.6(A)</w:t>
      </w:r>
      <w:r>
        <w:t xml:space="preserve"> and </w:t>
      </w:r>
      <w:r>
        <w:rPr>
          <w:u w:val="single"/>
        </w:rPr>
        <w:t>Exhibit M – Battery Storage System Testing Protocols</w:t>
      </w:r>
      <w:r>
        <w:t>.</w:t>
      </w:r>
    </w:p>
    <w:p w:rsidR="0079779A" w:rsidRDefault="003E5439" w14:paraId="315F867D" w14:textId="77777777">
      <w:pPr>
        <w:pStyle w:val="ArticleL3"/>
        <w:numPr>
          <w:ilvl w:val="2"/>
          <w:numId w:val="33"/>
        </w:numPr>
      </w:pPr>
      <w:r>
        <w:t xml:space="preserve">Battery Units comprising one hundred percent (100%) of the Battery Storage System Nameplate Capacity planned for the Facility, and associated equipment sufficient to allow such Battery Units to store Charging Energy and deliver Discharging Energy to the Point of Delivery, have been installed and become operable.  </w:t>
      </w:r>
    </w:p>
    <w:p w:rsidR="0079779A" w:rsidRDefault="003E5439" w14:paraId="38B7346A" w14:textId="77777777">
      <w:pPr>
        <w:pStyle w:val="ArticleL3"/>
        <w:numPr>
          <w:ilvl w:val="2"/>
          <w:numId w:val="33"/>
        </w:numPr>
      </w:pPr>
      <w:r>
        <w:t xml:space="preserve">Seller has executed and delivered to Company all documents or instruments required under Article 16. </w:t>
      </w:r>
    </w:p>
    <w:bookmarkEnd w:id="72"/>
    <w:p w:rsidR="0079779A" w:rsidRDefault="003E5439" w14:paraId="67629987" w14:textId="77777777">
      <w:pPr>
        <w:pStyle w:val="ArticleL3"/>
        <w:keepNext w:val="0"/>
        <w:tabs>
          <w:tab w:val="num" w:pos="2880"/>
        </w:tabs>
        <w:spacing w:after="240"/>
      </w:pPr>
      <w:r>
        <w:t xml:space="preserve">Prior to COD, should Seller require Company’s assistance in meeting the COD Conditions because the Transmission Authority considers Company to be the market participant for the Facility, Company shall use Commercially Reasonable Efforts to cooperate with and </w:t>
      </w:r>
      <w:proofErr w:type="gramStart"/>
      <w:r>
        <w:t>provide assistance to</w:t>
      </w:r>
      <w:proofErr w:type="gramEnd"/>
      <w:r>
        <w:t xml:space="preserve"> Seller, so long as Seller provides any security the Transmission Authority requires and reimburses Company for all expenses, including fees of counsel, Company may incur in providing such cooperation and assistance. </w:t>
      </w:r>
    </w:p>
    <w:p w:rsidR="0079779A" w:rsidRDefault="003E5439" w14:paraId="4CA8B3C6" w14:textId="77777777">
      <w:pPr>
        <w:pStyle w:val="ArticleL3"/>
        <w:keepNext w:val="0"/>
        <w:spacing w:after="240"/>
      </w:pPr>
      <w:r>
        <w:t>For purposes hereof, the first “</w:t>
      </w:r>
      <w:r>
        <w:rPr>
          <w:u w:val="single"/>
        </w:rPr>
        <w:t>Commercial Operation Year</w:t>
      </w:r>
      <w:r>
        <w:t>” shall mean the period starting at 12:01 a.m. on the Commercial Operation Date and ending at 11:59 pm on the last Day of the calendar month in which the first anniversary of COD occurs, and each successive “Commercial Operation Year” shall mean the 12-month period following the prior Commercial Operation Year.  The Annual Throughput Limit [</w:t>
      </w:r>
      <w:r>
        <w:rPr>
          <w:b/>
          <w:i/>
          <w:highlight w:val="yellow"/>
        </w:rPr>
        <w:t>bid-</w:t>
      </w:r>
      <w:proofErr w:type="gramStart"/>
      <w:r>
        <w:rPr>
          <w:b/>
          <w:i/>
          <w:highlight w:val="yellow"/>
        </w:rPr>
        <w:t>specific  --</w:t>
      </w:r>
      <w:proofErr w:type="gramEnd"/>
      <w:r>
        <w:rPr>
          <w:b/>
          <w:i/>
          <w:highlight w:val="yellow"/>
        </w:rPr>
        <w:t xml:space="preserve">  may be n/a</w:t>
      </w:r>
      <w:r>
        <w:t>]</w:t>
      </w:r>
      <w:r>
        <w:rPr>
          <w:i/>
        </w:rPr>
        <w:t xml:space="preserve"> </w:t>
      </w:r>
      <w:r>
        <w:t xml:space="preserve"> for the first Commercial Operation Year shall be prorated to reflect the number of Days by which the first Commercial Operation Year exceeds three hundred sixty-five (365) Days.</w:t>
      </w:r>
    </w:p>
    <w:p w:rsidR="0079779A" w:rsidRDefault="003E5439" w14:paraId="7F0583B3" w14:textId="77777777">
      <w:pPr>
        <w:pStyle w:val="ArticleL2"/>
        <w:keepNext w:val="0"/>
      </w:pPr>
      <w:bookmarkStart w:name="_Toc288027249" w:id="75"/>
      <w:bookmarkStart w:name="_Toc433953967" w:id="76"/>
      <w:bookmarkStart w:name="_Toc433954125" w:id="77"/>
      <w:r>
        <w:rPr>
          <w:u w:val="single"/>
        </w:rPr>
        <w:t>Pre-COD Testing</w:t>
      </w:r>
      <w:r>
        <w:fldChar w:fldCharType="begin"/>
      </w:r>
      <w:r>
        <w:instrText>tc "</w:instrText>
      </w:r>
      <w:bookmarkStart w:name="_Toc531859599" w:id="78"/>
      <w:bookmarkStart w:name="_Toc119238902" w:id="79"/>
      <w:r>
        <w:instrText>4.6</w:instrText>
      </w:r>
      <w:r>
        <w:tab/>
        <w:instrText>Pre-COD Testing</w:instrText>
      </w:r>
      <w:bookmarkEnd w:id="78"/>
      <w:bookmarkEnd w:id="79"/>
      <w:r>
        <w:instrText>” \f C \l 2</w:instrText>
      </w:r>
      <w:r>
        <w:fldChar w:fldCharType="end"/>
      </w:r>
      <w:r>
        <w:t>.</w:t>
      </w:r>
      <w:bookmarkEnd w:id="75"/>
      <w:bookmarkEnd w:id="76"/>
      <w:bookmarkEnd w:id="77"/>
    </w:p>
    <w:p w:rsidR="0079779A" w:rsidRDefault="003E5439" w14:paraId="119A62E4" w14:textId="77777777">
      <w:pPr>
        <w:pStyle w:val="ArticleL3"/>
        <w:keepNext w:val="0"/>
      </w:pPr>
      <w:r>
        <w:t>Seller shall provide Company and Transmission Authority with the information necessary to have the Facility registered with the Transmission Authority for inclusion in any generation and energy storage modeling maintained by the Transmission Authority, sufficiently in advance to allow the Facility to be registered in such model at least six months prior to dispatching any Pre-COD Test Energy.  Company shall cooperate reasonably to assist in the registration of the Facility to allow dispatch of Test Energy.</w:t>
      </w:r>
    </w:p>
    <w:p w:rsidR="0079779A" w:rsidRDefault="003E5439" w14:paraId="6AD077DA" w14:textId="3637F440">
      <w:pPr>
        <w:pStyle w:val="ArticleL3"/>
        <w:keepNext w:val="0"/>
      </w:pPr>
      <w:r>
        <w:t xml:space="preserve">Seller shall coordinate the receipt and delivery of Test Energy with Company, with not less than seven (7) Business Days’ prior notice, or such other Commercially Reasonable prior notice as Company may reasonably request.  Company shall provide all Test Energy required to charge the Battery Storage </w:t>
      </w:r>
      <w:proofErr w:type="gramStart"/>
      <w:r>
        <w:t>System, and</w:t>
      </w:r>
      <w:proofErr w:type="gramEnd"/>
      <w:r>
        <w:t xml:space="preserve"> Discharging Energy from the Facility derived from such Test Energy shall be treated as dispatched by the Company hereunder.  Company shall reasonably cooperate with Seller to provide such Test Energy at a time that will mitigate the costs of such Energy (including, if requested by Seller, by providing Seller with projections of the Charging Energy Price </w:t>
      </w:r>
      <w:r>
        <w:lastRenderedPageBreak/>
        <w:t xml:space="preserve">for periods during which such price is determined by Company in its sole discretion pursuant to its cost calculator), and Seller shall reimburse Company for the cost of the Test Energy (based on the Charging Energy Price at the time of charging) to the extent that it exceeds the </w:t>
      </w:r>
      <w:r w:rsidR="00510665">
        <w:t xml:space="preserve">cost of the </w:t>
      </w:r>
      <w:r>
        <w:rPr>
          <w:szCs w:val="24"/>
        </w:rPr>
        <w:t xml:space="preserve">Discharging Energy discharged by the Battery Storage System </w:t>
      </w:r>
      <w:r>
        <w:t xml:space="preserve">derived from such Test Energy (based on the Discharging Energy Price at the time of discharging). </w:t>
      </w:r>
    </w:p>
    <w:p w:rsidR="0079779A" w:rsidRDefault="003E5439" w14:paraId="5A92DAC8" w14:textId="77777777">
      <w:pPr>
        <w:pStyle w:val="ArticleL3"/>
      </w:pPr>
      <w:r>
        <w:t>For purposes hereof, “</w:t>
      </w:r>
      <w:r>
        <w:rPr>
          <w:u w:val="single"/>
        </w:rPr>
        <w:t>Test Energy</w:t>
      </w:r>
      <w:r>
        <w:t xml:space="preserve">” means all Charging Energy stored by the Facility prior to COD, required to satisfy the COD Conditions.  </w:t>
      </w:r>
    </w:p>
    <w:p w:rsidR="0079779A" w:rsidRDefault="003E5439" w14:paraId="4EE01CC5" w14:textId="77777777">
      <w:pPr>
        <w:pStyle w:val="ArticleL1"/>
      </w:pPr>
      <w:bookmarkStart w:name="_Toc288027250" w:id="80"/>
      <w:bookmarkStart w:name="_Toc433953968" w:id="81"/>
      <w:bookmarkStart w:name="_Toc433954126" w:id="82"/>
      <w:r>
        <w:t>Delivery</w:t>
      </w:r>
      <w:bookmarkEnd w:id="80"/>
      <w:bookmarkEnd w:id="81"/>
      <w:bookmarkEnd w:id="82"/>
      <w:r>
        <w:t xml:space="preserve"> and Testing</w:t>
      </w:r>
      <w:r>
        <w:fldChar w:fldCharType="begin"/>
      </w:r>
      <w:r>
        <w:instrText>tc "</w:instrText>
      </w:r>
      <w:bookmarkStart w:name="_Toc531859600" w:id="83"/>
      <w:bookmarkStart w:name="_Toc119238903" w:id="84"/>
      <w:r>
        <w:instrText>Article 5 – Delivery and Testing</w:instrText>
      </w:r>
      <w:bookmarkEnd w:id="83"/>
      <w:bookmarkEnd w:id="84"/>
      <w:r>
        <w:instrText>” \f C \l 1</w:instrText>
      </w:r>
      <w:r>
        <w:fldChar w:fldCharType="end"/>
      </w:r>
      <w:r>
        <w:fldChar w:fldCharType="begin"/>
      </w:r>
      <w:r>
        <w:instrText xml:space="preserve"> TC </w:instrText>
      </w:r>
      <w:r>
        <w:fldChar w:fldCharType="end"/>
      </w:r>
    </w:p>
    <w:p w:rsidR="0079779A" w:rsidRDefault="003E5439" w14:paraId="06BCA3E9" w14:textId="77777777">
      <w:pPr>
        <w:pStyle w:val="ArticleL2"/>
      </w:pPr>
      <w:bookmarkStart w:name="_Toc288027251" w:id="85"/>
      <w:bookmarkStart w:name="_Toc433953969" w:id="86"/>
      <w:bookmarkStart w:name="_Toc433954127" w:id="87"/>
      <w:r>
        <w:rPr>
          <w:u w:val="single"/>
        </w:rPr>
        <w:t>Arrangements</w:t>
      </w:r>
      <w:r>
        <w:fldChar w:fldCharType="begin"/>
      </w:r>
      <w:r>
        <w:instrText>tc "</w:instrText>
      </w:r>
      <w:bookmarkStart w:name="_Toc531859601" w:id="88"/>
      <w:bookmarkStart w:name="_Toc119238904" w:id="89"/>
      <w:r>
        <w:instrText>5.1</w:instrText>
      </w:r>
      <w:r>
        <w:tab/>
        <w:instrText>Arrangements</w:instrText>
      </w:r>
      <w:bookmarkEnd w:id="88"/>
      <w:bookmarkEnd w:id="89"/>
      <w:r>
        <w:instrText>” \f C \l 2</w:instrText>
      </w:r>
      <w:r>
        <w:fldChar w:fldCharType="end"/>
      </w:r>
      <w:r>
        <w:t>.</w:t>
      </w:r>
      <w:bookmarkEnd w:id="85"/>
      <w:r>
        <w:t xml:space="preserve">  </w:t>
      </w:r>
    </w:p>
    <w:bookmarkEnd w:id="86"/>
    <w:bookmarkEnd w:id="87"/>
    <w:p w:rsidR="0079779A" w:rsidRDefault="003E5439" w14:paraId="0DE8DC2B" w14:textId="77777777">
      <w:pPr>
        <w:pStyle w:val="ArticleL3"/>
      </w:pPr>
      <w:r>
        <w:t xml:space="preserve">Seller shall be responsible for arranging, </w:t>
      </w:r>
      <w:proofErr w:type="gramStart"/>
      <w:r>
        <w:t>maintaining</w:t>
      </w:r>
      <w:proofErr w:type="gramEnd"/>
      <w:r>
        <w:t xml:space="preserve"> and paying the costs associated with the interconnection of the Facility to the Transmission Authority’s System. Seller shall comply with the Transmission Authority’s requirements for interconnection and shall comply with all requirements set forth in the applicable Transmission Tariff.  </w:t>
      </w:r>
    </w:p>
    <w:p w:rsidR="0079779A" w:rsidRDefault="003E5439" w14:paraId="39530BC7" w14:textId="77777777">
      <w:pPr>
        <w:pStyle w:val="ArticleL3"/>
        <w:numPr>
          <w:ilvl w:val="0"/>
          <w:numId w:val="0"/>
        </w:numPr>
        <w:ind w:firstLine="720"/>
      </w:pPr>
      <w:r>
        <w:t xml:space="preserve">The Interconnection Agreement for the Facility shall provide for both Energy Resource Interconnection Service and Network Resource Interconnection Service under the Transmission Tariff.  The resulting Interconnection Agreement must include Energy Resource Interconnection Service at a minimum.  Seller shall cooperate reasonably in any request by Company to assist in Company’s efforts to have the Facility approved as a Network Resource and Network Load or equivalent classification pursuant to the applicable Transmission Tariff and Company’s efforts to obtain Firm Network Interconnection Transmission Service under the Transmission Tariff. </w:t>
      </w:r>
    </w:p>
    <w:p w:rsidR="0079779A" w:rsidRDefault="003E5439" w14:paraId="41F7A6F0" w14:textId="77777777">
      <w:pPr>
        <w:pStyle w:val="ArticleL3"/>
      </w:pPr>
      <w:r>
        <w:t>Seller hereby authorizes Company to contact, discuss and obtain information concerning the Facility and the Interconnection Facilities directly with/from the Transmission Authority.  Promptly upon request by Company, Seller shall confirm such authorization in writing to the Transmission Authority and any applicable transmission owners in such form as may be requested by Company or the Transmission Authority.</w:t>
      </w:r>
    </w:p>
    <w:p w:rsidR="0079779A" w:rsidRDefault="003E5439" w14:paraId="54CC1044" w14:textId="77777777">
      <w:pPr>
        <w:pStyle w:val="ArticleL3"/>
      </w:pPr>
      <w:r>
        <w:t>To the extent required, Company shall arrange and be responsible for scheduling and transmission services beyond the Point of Delivery with respect to the output of the Facility.  To the extent applicable, Company shall be the market participant with respect to the output of the Facility, as defined by the Transmission Authority.</w:t>
      </w:r>
    </w:p>
    <w:p w:rsidR="0079779A" w:rsidRDefault="003E5439" w14:paraId="3398DAB1" w14:textId="77777777">
      <w:pPr>
        <w:pStyle w:val="ArticleL3"/>
      </w:pPr>
      <w:r>
        <w:t xml:space="preserve">Seller shall be responsible for all interconnection, electric losses, transmission and ancillary service arrangements and costs required to deliver Discharging Energy.  </w:t>
      </w:r>
      <w:bookmarkStart w:name="place" w:id="90"/>
      <w:bookmarkEnd w:id="90"/>
      <w:r>
        <w:t xml:space="preserve">Company shall be responsible for all electrical losses, transmission and ancillary service arrangements and costs required to transmit and deliver Discharging Energy beyond the Point of Delivery.  </w:t>
      </w:r>
    </w:p>
    <w:p w:rsidR="0079779A" w:rsidRDefault="003E5439" w14:paraId="0A0A97EA" w14:textId="77777777">
      <w:pPr>
        <w:pStyle w:val="ArticleL2"/>
      </w:pPr>
      <w:r>
        <w:rPr>
          <w:u w:val="single"/>
        </w:rPr>
        <w:t>Charging Requirements</w:t>
      </w:r>
      <w:r>
        <w:t xml:space="preserve"> </w:t>
      </w:r>
      <w:r>
        <w:fldChar w:fldCharType="begin"/>
      </w:r>
      <w:r>
        <w:instrText>tc "</w:instrText>
      </w:r>
      <w:bookmarkStart w:name="_Toc531859602" w:id="91"/>
      <w:bookmarkStart w:name="_Toc119238905" w:id="92"/>
      <w:r>
        <w:instrText>5.2</w:instrText>
      </w:r>
      <w:r>
        <w:tab/>
        <w:instrText>Charging Requirements</w:instrText>
      </w:r>
      <w:bookmarkEnd w:id="91"/>
      <w:bookmarkEnd w:id="92"/>
      <w:r>
        <w:instrText>” \f C \l 2</w:instrText>
      </w:r>
      <w:r>
        <w:fldChar w:fldCharType="end"/>
      </w:r>
    </w:p>
    <w:p w:rsidR="0079779A" w:rsidRDefault="003E5439" w14:paraId="537296CA" w14:textId="77777777">
      <w:pPr>
        <w:pStyle w:val="ArticleL3"/>
      </w:pPr>
      <w:r>
        <w:t xml:space="preserve">Company shall be responsible for arranging, managing, purchasing, and scheduling all of the Charging Energy for the Battery Storage System in accordance with the terms of </w:t>
      </w:r>
      <w:r>
        <w:rPr>
          <w:u w:val="single"/>
        </w:rPr>
        <w:t>Section 7.3</w:t>
      </w:r>
      <w:r>
        <w:t xml:space="preserve"> and </w:t>
      </w:r>
      <w:r>
        <w:rPr>
          <w:u w:val="single"/>
        </w:rPr>
        <w:t xml:space="preserve">Exhibit O – Battery Storage System Operating </w:t>
      </w:r>
      <w:r>
        <w:rPr>
          <w:u w:val="single"/>
        </w:rPr>
        <w:lastRenderedPageBreak/>
        <w:t>Procedures</w:t>
      </w:r>
      <w:r>
        <w:t xml:space="preserve">. Company shall deliver Charging Energy to the Point of Delivery, and Seller shall be responsible for accepting and transferring Charging Energy from the Point of Delivery to the Battery Storage System.  Seller shall be responsible for delivering all Discharging Energy up to the Point of Delivery.  Company shall be responsible for accepting and transferring all Discharging Energy at and from the Point of Delivery.  </w:t>
      </w:r>
    </w:p>
    <w:p w:rsidR="0079779A" w:rsidRDefault="003E5439" w14:paraId="6E0FB8B8" w14:textId="77777777">
      <w:pPr>
        <w:pStyle w:val="ArticleL3"/>
      </w:pPr>
      <w:r>
        <w:t xml:space="preserve">Seller shall take any and all action necessary to allow the delivery of Charging Energy to the Battery Storage System in accordance with the terms of this PPA, including maintenance, </w:t>
      </w:r>
      <w:proofErr w:type="gramStart"/>
      <w:r>
        <w:t>repair</w:t>
      </w:r>
      <w:proofErr w:type="gramEnd"/>
      <w:r>
        <w:t xml:space="preserve"> or replacement of equipment in Seller’s possession or control used to deliver the Charging Energy from the Point of Delivery to the Battery Storage System and receive any such Charging Energy at the Point of Delivery.  </w:t>
      </w:r>
    </w:p>
    <w:p w:rsidR="0079779A" w:rsidRDefault="003E5439" w14:paraId="6C2E55EA" w14:textId="77777777">
      <w:pPr>
        <w:pStyle w:val="ArticleL3"/>
      </w:pPr>
      <w:r>
        <w:t xml:space="preserve">Company shall be responsible for the costs associated with supplying and delivering any Charging Energy to the Point of Delivery; </w:t>
      </w:r>
      <w:r>
        <w:rPr>
          <w:i/>
        </w:rPr>
        <w:t>provided</w:t>
      </w:r>
      <w:r>
        <w:t xml:space="preserve">, that Seller shall be responsible for certain costs arising out of a Seller Initiated Test as set forth in </w:t>
      </w:r>
      <w:r>
        <w:rPr>
          <w:u w:val="single"/>
        </w:rPr>
        <w:t>Section 5.6</w:t>
      </w:r>
      <w:r>
        <w:t xml:space="preserve">.  </w:t>
      </w:r>
    </w:p>
    <w:p w:rsidR="0079779A" w:rsidRDefault="003E5439" w14:paraId="48A2E193" w14:textId="77777777">
      <w:pPr>
        <w:pStyle w:val="ArticleL3"/>
      </w:pPr>
      <w:r>
        <w:t xml:space="preserve">[The Battery Storage System may not be, and Company shall not issue any instruction, order, Dispatch Notice or other communication requesting or requiring the Battery Storage System to be, charged, discharged or operated in any manner which results in an amount of Energy discharged by the Battery Storage System in any given Commercial Operation Year which exceeds the Annual Throughput Limit, except to the extent provided in accordance with Section 8.5.] </w:t>
      </w:r>
      <w:r>
        <w:rPr>
          <w:b/>
          <w:i/>
        </w:rPr>
        <w:t>bid-specific  --  may be n/a</w:t>
      </w:r>
      <w:r>
        <w:rPr>
          <w:i/>
        </w:rPr>
        <w:t xml:space="preserve"> </w:t>
      </w:r>
      <w:r>
        <w:t xml:space="preserve">   </w:t>
      </w:r>
    </w:p>
    <w:p w:rsidR="0079779A" w:rsidRDefault="003E5439" w14:paraId="2BB4B013" w14:textId="77777777">
      <w:pPr>
        <w:pStyle w:val="ArticleL2"/>
      </w:pPr>
      <w:bookmarkStart w:name="_Toc433953970" w:id="93"/>
      <w:bookmarkStart w:name="_Toc433954128" w:id="94"/>
      <w:bookmarkStart w:name="_Toc288027252" w:id="95"/>
      <w:r>
        <w:rPr>
          <w:u w:val="single"/>
        </w:rPr>
        <w:t>Market Changes</w:t>
      </w:r>
      <w:r>
        <w:fldChar w:fldCharType="begin"/>
      </w:r>
      <w:r>
        <w:instrText>tc "</w:instrText>
      </w:r>
      <w:bookmarkStart w:name="_Toc531859603" w:id="96"/>
      <w:bookmarkStart w:name="_Toc119238906" w:id="97"/>
      <w:r>
        <w:instrText>5.3</w:instrText>
      </w:r>
      <w:r>
        <w:tab/>
        <w:instrText>Market Changes</w:instrText>
      </w:r>
      <w:bookmarkEnd w:id="96"/>
      <w:bookmarkEnd w:id="97"/>
      <w:r>
        <w:instrText>” \f C \l 2</w:instrText>
      </w:r>
      <w:r>
        <w:fldChar w:fldCharType="end"/>
      </w:r>
      <w:r>
        <w:t>.</w:t>
      </w:r>
      <w:bookmarkEnd w:id="93"/>
      <w:bookmarkEnd w:id="94"/>
      <w:r>
        <w:t xml:space="preserve">  </w:t>
      </w:r>
    </w:p>
    <w:p w:rsidR="0079779A" w:rsidRDefault="003E5439" w14:paraId="4DD3A36A" w14:textId="77777777">
      <w:pPr>
        <w:pStyle w:val="ArticleL3"/>
      </w:pPr>
      <w:r>
        <w:t>If at any time during the Term, the Transmission Authority changes or the facilities at the Point of Delivery cease to be subject to the Transmission Tariff, the Parties shall cooperate in good faith to facilitate the delivery of Energy from the Point of Delivery to Company’s load, at the least possible cost to the Parties, consistent with this PPA to the extent possible.</w:t>
      </w:r>
    </w:p>
    <w:p w:rsidR="0079779A" w:rsidRDefault="003E5439" w14:paraId="4B310388" w14:textId="77777777">
      <w:pPr>
        <w:pStyle w:val="ArticleL3"/>
        <w:rPr>
          <w:b/>
          <w:i/>
        </w:rPr>
      </w:pPr>
      <w:r>
        <w:t xml:space="preserve">If at any time during the Term, the Transmission Authority, the ERO or any other Governmental Authority with jurisdiction imposes an organized market or Company elects to join a regional transmission organization or participate in an organized market that changes the manner in which the Facility is scheduled and dispatched, the Parties shall cooperate in good faith to change their protocols for operation of the Facility accordingly, at the least possible cost to the Parties, consistent with this PPA to the extent possible.  </w:t>
      </w:r>
    </w:p>
    <w:p w:rsidR="0079779A" w:rsidRDefault="003E5439" w14:paraId="32615312" w14:textId="77777777">
      <w:pPr>
        <w:pStyle w:val="ArticleL2"/>
      </w:pPr>
      <w:bookmarkStart w:name="_Toc433953971" w:id="98"/>
      <w:bookmarkStart w:name="_Toc433954129" w:id="99"/>
      <w:r>
        <w:rPr>
          <w:u w:val="single"/>
        </w:rPr>
        <w:t>Communication Protocols</w:t>
      </w:r>
      <w:r>
        <w:fldChar w:fldCharType="begin"/>
      </w:r>
      <w:r>
        <w:instrText>tc "</w:instrText>
      </w:r>
      <w:bookmarkStart w:name="_Toc531859605" w:id="100"/>
      <w:bookmarkStart w:name="_Toc119238907" w:id="101"/>
      <w:r>
        <w:instrText>5.4</w:instrText>
      </w:r>
      <w:r>
        <w:tab/>
        <w:instrText>Communication Protocols</w:instrText>
      </w:r>
      <w:bookmarkEnd w:id="100"/>
      <w:bookmarkEnd w:id="101"/>
      <w:r>
        <w:instrText>” \f C \l 2</w:instrText>
      </w:r>
      <w:r>
        <w:fldChar w:fldCharType="end"/>
      </w:r>
      <w:r>
        <w:t xml:space="preserve">.  The Parties shall agree to the communication protocols outlined in </w:t>
      </w:r>
      <w:r>
        <w:rPr>
          <w:u w:val="single"/>
        </w:rPr>
        <w:t>Exhibit I - AGC Protocols; Dispatch and Availability Notices; Data Collection; Technical Specifications</w:t>
      </w:r>
      <w:r>
        <w:t xml:space="preserve"> to facilitate the exchange of information between the </w:t>
      </w:r>
      <w:r>
        <w:lastRenderedPageBreak/>
        <w:t xml:space="preserve">Parties.  Each Party may update its contact information set forth in </w:t>
      </w:r>
      <w:r>
        <w:rPr>
          <w:u w:val="single"/>
        </w:rPr>
        <w:t>Exhibit D – Notices</w:t>
      </w:r>
      <w:r>
        <w:t xml:space="preserve"> from time to time by notifying the other Party in writing.  </w:t>
      </w:r>
    </w:p>
    <w:p w:rsidR="0079779A" w:rsidRDefault="003E5439" w14:paraId="5ABCAB22" w14:textId="77777777">
      <w:pPr>
        <w:pStyle w:val="ArticleL2"/>
      </w:pPr>
      <w:r>
        <w:rPr>
          <w:u w:val="single"/>
        </w:rPr>
        <w:t>Electric Metering Devices</w:t>
      </w:r>
      <w:r>
        <w:fldChar w:fldCharType="begin"/>
      </w:r>
      <w:r>
        <w:instrText>tc "</w:instrText>
      </w:r>
      <w:bookmarkStart w:name="_Toc531859606" w:id="102"/>
      <w:bookmarkStart w:name="_Toc119238908" w:id="103"/>
      <w:r>
        <w:instrText>5.5</w:instrText>
      </w:r>
      <w:r>
        <w:tab/>
        <w:instrText>Electric Metering Devices</w:instrText>
      </w:r>
      <w:bookmarkEnd w:id="102"/>
      <w:bookmarkEnd w:id="103"/>
      <w:r>
        <w:instrText>” \f C \l 2</w:instrText>
      </w:r>
      <w:r>
        <w:fldChar w:fldCharType="end"/>
      </w:r>
      <w:r>
        <w:t>.</w:t>
      </w:r>
      <w:bookmarkEnd w:id="98"/>
      <w:bookmarkEnd w:id="99"/>
      <w:r>
        <w:t xml:space="preserve">  </w:t>
      </w:r>
      <w:bookmarkEnd w:id="95"/>
    </w:p>
    <w:p w:rsidR="0079779A" w:rsidRDefault="003E5439" w14:paraId="12FE3024" w14:textId="77777777">
      <w:pPr>
        <w:pStyle w:val="ArticleL3"/>
      </w:pPr>
      <w:r>
        <w:t xml:space="preserve">All Electric Metering Devices used to measure Energy shall be owned, installed, and maintained in accordance with the Interconnection Agreement, at no cost to Company.  </w:t>
      </w:r>
    </w:p>
    <w:p w:rsidR="0079779A" w:rsidRDefault="003E5439" w14:paraId="3C898110" w14:textId="77777777">
      <w:pPr>
        <w:pStyle w:val="ArticleL4"/>
        <w:numPr>
          <w:ilvl w:val="0"/>
          <w:numId w:val="63"/>
        </w:numPr>
        <w:ind w:left="0" w:firstLine="1260"/>
      </w:pPr>
      <w:r>
        <w:t xml:space="preserve">Seller shall configure Electric Metering Devices via electronic remote communications and via physical access in a manner that enables separate, bi-directional (as applicable) meter readings for all Energy transmitted at the Point of Delivery as set forth in </w:t>
      </w:r>
      <w:r>
        <w:rPr>
          <w:u w:val="single"/>
        </w:rPr>
        <w:t>Exhibit C - Facility Description and Site Maps</w:t>
      </w:r>
      <w:r>
        <w:t xml:space="preserve">. </w:t>
      </w:r>
    </w:p>
    <w:p w:rsidR="0079779A" w:rsidRDefault="003E5439" w14:paraId="02290E32" w14:textId="77777777">
      <w:pPr>
        <w:pStyle w:val="ArticleL4"/>
        <w:numPr>
          <w:ilvl w:val="0"/>
          <w:numId w:val="63"/>
        </w:numPr>
        <w:ind w:left="0" w:firstLine="1260"/>
      </w:pPr>
      <w:r>
        <w:t xml:space="preserve">Seller shall separately configure Electric Metering Devices, installed in accordance with and conforming to the Local Provider’s electrical service and tariff requirements, as necessary, to separately account for all House Power.  </w:t>
      </w:r>
    </w:p>
    <w:p w:rsidR="0079779A" w:rsidRDefault="003E5439" w14:paraId="7C123D4C" w14:textId="77777777">
      <w:pPr>
        <w:pStyle w:val="ArticleL4"/>
        <w:numPr>
          <w:ilvl w:val="0"/>
          <w:numId w:val="63"/>
        </w:numPr>
        <w:ind w:left="0" w:firstLine="1260"/>
      </w:pPr>
      <w:r>
        <w:t xml:space="preserve">Seller shall arrange any necessary authorization to provide Company access to all Electric Metering Devices for purposes related to this </w:t>
      </w:r>
      <w:proofErr w:type="gramStart"/>
      <w:r>
        <w:t>PPA, and</w:t>
      </w:r>
      <w:proofErr w:type="gramEnd"/>
      <w:r>
        <w:t xml:space="preserve"> shall provide Company the opportunity to be present at any time when such Electric Metering Devices are to be inspected, tested or adjusted.  </w:t>
      </w:r>
    </w:p>
    <w:p w:rsidR="0079779A" w:rsidRDefault="003E5439" w14:paraId="62C68219" w14:textId="77777777">
      <w:pPr>
        <w:pStyle w:val="ArticleL3"/>
      </w:pPr>
      <w:r>
        <w:t>Either Party may elect to install and maintain, at its own expense, backup metering devices (“</w:t>
      </w:r>
      <w:r>
        <w:rPr>
          <w:u w:val="single"/>
        </w:rPr>
        <w:t>Back-Up Metering</w:t>
      </w:r>
      <w:r>
        <w:t xml:space="preserve">”), </w:t>
      </w:r>
      <w:r>
        <w:rPr>
          <w:i/>
        </w:rPr>
        <w:t xml:space="preserve">provided, however, </w:t>
      </w:r>
      <w:r>
        <w:t>that the specifications, installation and testing of any such Back-Up Metering shall be consistent with the requirements for the Electric Metering Devices.   Upon written request from the other Party, the installing Party shall test the Back-Up Metering.  The actual cost of any such test shall be borne by the Party requesting the test, unless, upon such test, Back-Up Metering is inaccurate by more than one percent, in which case the cost of the retest shall be borne by the installing Party.  If requested in writing, the installing Party shall provide copies of any inspection or testing reports to the requesting Party.</w:t>
      </w:r>
    </w:p>
    <w:p w:rsidR="0079779A" w:rsidRDefault="003E5439" w14:paraId="7479E2CE" w14:textId="77777777">
      <w:pPr>
        <w:pStyle w:val="ArticleL3"/>
      </w:pPr>
      <w:r>
        <w:t>If an Electric Metering Device or Back-Up Metering fails to register, or if the measurement is inaccurate by more than one percent, an adjustment shall be made correcting all measurements as follows:</w:t>
      </w:r>
    </w:p>
    <w:p w:rsidR="0079779A" w:rsidRDefault="003E5439" w14:paraId="02FEDDFE" w14:textId="77777777">
      <w:pPr>
        <w:pStyle w:val="ArticleL4"/>
      </w:pPr>
      <w:r>
        <w:t xml:space="preserve">If the Electric Metering Device is found to be defective or inaccurate, the Parties shall use Back-Up Metering, if installed, to determine the amount of such inaccuracy, </w:t>
      </w:r>
      <w:r>
        <w:rPr>
          <w:i/>
        </w:rPr>
        <w:t xml:space="preserve">provided, however, </w:t>
      </w:r>
      <w:r>
        <w:t xml:space="preserve">that Back-Up Metering has been tested and maintained and adjusted for losses on the same basis as the Electric Metering Device.  If Back-Up Metering is not installed, or Back-Up Metering is also found to be inaccurate by more than one percent, the Parties shall use the best available information for the period of inaccuracy, adjusted for losses to the Point of Delivery in accordance with applicable manufacturers’ parameters or as otherwise agreed by the Parties.  </w:t>
      </w:r>
    </w:p>
    <w:p w:rsidR="0079779A" w:rsidRDefault="003E5439" w14:paraId="06971525" w14:textId="77777777">
      <w:pPr>
        <w:pStyle w:val="ArticleL4"/>
      </w:pPr>
      <w:r>
        <w:t xml:space="preserve">If the Parties cannot agree on the actual period during which inaccurate measurements were made, the period shall be the shorter of (i) the last one-half of the period from the last previous test of the Electric Metering Device to the test that found the Electric Metering Device to be defective or inaccurate, or (ii) one hundred eighty </w:t>
      </w:r>
      <w:r>
        <w:lastRenderedPageBreak/>
        <w:t>(180) Days immediately preceding the test that found the Electric Metering Device to be defective or inaccurate.</w:t>
      </w:r>
    </w:p>
    <w:p w:rsidR="0079779A" w:rsidRDefault="003E5439" w14:paraId="6D12E4F0" w14:textId="77777777">
      <w:pPr>
        <w:pStyle w:val="ArticleL4"/>
      </w:pPr>
      <w:r>
        <w:t xml:space="preserve">To the extent that an adjustment period covers a period of deliveries for which payment has already been made by Company, Company shall use the corrected measurements as determined in accordance with this </w:t>
      </w:r>
      <w:r>
        <w:rPr>
          <w:u w:val="single"/>
        </w:rPr>
        <w:t>Article 5</w:t>
      </w:r>
      <w:r>
        <w:t xml:space="preserve"> to re-compute the amount due for the period of the inaccuracy and shall subtract or add the previous payments made by Company for this period from such re-computed amount.  The net difference shall be reflected as an adjustment on the next regular invoice in accordance with </w:t>
      </w:r>
      <w:r>
        <w:rPr>
          <w:u w:val="single"/>
        </w:rPr>
        <w:t>Article 9</w:t>
      </w:r>
      <w:r>
        <w:t>.</w:t>
      </w:r>
    </w:p>
    <w:p w:rsidR="0079779A" w:rsidRDefault="003E5439" w14:paraId="08E5BA60" w14:textId="77777777">
      <w:pPr>
        <w:pStyle w:val="ArticleL2"/>
      </w:pPr>
      <w:r>
        <w:rPr>
          <w:u w:val="single"/>
        </w:rPr>
        <w:t>Battery Storage System Testing</w:t>
      </w:r>
      <w:r>
        <w:t xml:space="preserve">. </w:t>
      </w:r>
      <w:r>
        <w:fldChar w:fldCharType="begin"/>
      </w:r>
      <w:r>
        <w:instrText>tc "</w:instrText>
      </w:r>
      <w:bookmarkStart w:name="_Toc531859607" w:id="104"/>
      <w:bookmarkStart w:name="_Toc119238909" w:id="105"/>
      <w:r>
        <w:instrText>5.6</w:instrText>
      </w:r>
      <w:r>
        <w:tab/>
        <w:instrText>Battery Storage System Testing</w:instrText>
      </w:r>
      <w:bookmarkEnd w:id="104"/>
      <w:bookmarkEnd w:id="105"/>
      <w:r>
        <w:instrText>” \f C \l 2</w:instrText>
      </w:r>
      <w:r>
        <w:fldChar w:fldCharType="end"/>
      </w:r>
      <w:r>
        <w:fldChar w:fldCharType="begin"/>
      </w:r>
      <w:r>
        <w:instrText xml:space="preserve"> TC </w:instrText>
      </w:r>
      <w:r>
        <w:fldChar w:fldCharType="end"/>
      </w:r>
    </w:p>
    <w:p w:rsidR="0079779A" w:rsidRDefault="003E5439" w14:paraId="702BAE7E" w14:textId="77777777">
      <w:pPr>
        <w:pStyle w:val="ArticleL3"/>
        <w:keepNext w:val="0"/>
        <w:rPr>
          <w:szCs w:val="24"/>
        </w:rPr>
      </w:pPr>
      <w:r>
        <w:rPr>
          <w:szCs w:val="24"/>
        </w:rPr>
        <w:t>Prior to the Commercial Operation Date, Seller shall schedule and successfully complete a “</w:t>
      </w:r>
      <w:r>
        <w:rPr>
          <w:szCs w:val="24"/>
          <w:u w:val="single"/>
        </w:rPr>
        <w:t>Commercial Operation Test</w:t>
      </w:r>
      <w:r>
        <w:rPr>
          <w:szCs w:val="24"/>
        </w:rPr>
        <w:t xml:space="preserve">” in accordance with </w:t>
      </w:r>
      <w:r>
        <w:rPr>
          <w:szCs w:val="24"/>
          <w:u w:val="single"/>
        </w:rPr>
        <w:t>Exhibit M – Battery Storage System Testing Protocols</w:t>
      </w:r>
      <w:r>
        <w:rPr>
          <w:szCs w:val="24"/>
        </w:rPr>
        <w:t xml:space="preserve">.   </w:t>
      </w:r>
    </w:p>
    <w:p w:rsidR="0079779A" w:rsidRDefault="003E5439" w14:paraId="56D20BC3" w14:textId="77777777">
      <w:pPr>
        <w:pStyle w:val="ArticleL3"/>
        <w:keepNext w:val="0"/>
        <w:rPr>
          <w:szCs w:val="24"/>
        </w:rPr>
      </w:pPr>
      <w:r>
        <w:rPr>
          <w:szCs w:val="24"/>
        </w:rPr>
        <w:t>On an annual basis during the Delivery Period, upon seven (7) days prior notice to Company, Seller shall schedule and complete a “</w:t>
      </w:r>
      <w:r>
        <w:rPr>
          <w:szCs w:val="24"/>
          <w:u w:val="single"/>
        </w:rPr>
        <w:t>Periodic Test</w:t>
      </w:r>
      <w:r>
        <w:rPr>
          <w:szCs w:val="24"/>
        </w:rPr>
        <w:t xml:space="preserve">” in accordance with </w:t>
      </w:r>
      <w:r>
        <w:rPr>
          <w:szCs w:val="24"/>
          <w:u w:val="single"/>
        </w:rPr>
        <w:t>Exhibit M – Battery Storage System Testing Protocols</w:t>
      </w:r>
      <w:r>
        <w:rPr>
          <w:szCs w:val="24"/>
        </w:rPr>
        <w:t xml:space="preserve">. In addition, either Party shall have the right to require a retest at any time if such Party reasonably believes that the actual Performance Criteria has varied materially from the results of the most recent Tests.  Such retest shall be scheduled as soon as is reasonably practicable for the Parties consistent with Good Utility Practice.  Any such retest shall be deemed a Seller Initiated Test, as defined in </w:t>
      </w:r>
      <w:r>
        <w:rPr>
          <w:szCs w:val="24"/>
          <w:u w:val="single"/>
        </w:rPr>
        <w:t>Section 5.6(D)</w:t>
      </w:r>
      <w:r>
        <w:rPr>
          <w:szCs w:val="24"/>
        </w:rPr>
        <w:t xml:space="preserve">, except to the extent that such discretionary testing is conducted during a day in which Company has dispatched the Facility, in which case such Test shall be deemed to be a Company Dispatched Test, as defined in </w:t>
      </w:r>
      <w:r>
        <w:rPr>
          <w:szCs w:val="24"/>
          <w:u w:val="single"/>
        </w:rPr>
        <w:t>Section 5.6(D)</w:t>
      </w:r>
      <w:r>
        <w:rPr>
          <w:szCs w:val="24"/>
        </w:rPr>
        <w:t>.</w:t>
      </w:r>
    </w:p>
    <w:p w:rsidR="0079779A" w:rsidRDefault="003E5439" w14:paraId="531A1892" w14:textId="77777777">
      <w:pPr>
        <w:pStyle w:val="ArticleL3"/>
        <w:keepNext w:val="0"/>
        <w:rPr>
          <w:szCs w:val="24"/>
        </w:rPr>
      </w:pPr>
      <w:r>
        <w:rPr>
          <w:szCs w:val="24"/>
        </w:rPr>
        <w:t xml:space="preserve">If Seller fails any Periodic Test, then Seller shall be required to commence repairs in accordance with </w:t>
      </w:r>
      <w:r>
        <w:rPr>
          <w:szCs w:val="24"/>
          <w:u w:val="single"/>
        </w:rPr>
        <w:t>Section 10.3</w:t>
      </w:r>
      <w:r>
        <w:rPr>
          <w:szCs w:val="24"/>
        </w:rPr>
        <w:t>.</w:t>
      </w:r>
    </w:p>
    <w:p w:rsidR="0079779A" w:rsidRDefault="003E5439" w14:paraId="2B2D85FD" w14:textId="4C58FB5C">
      <w:pPr>
        <w:pStyle w:val="ArticleL3"/>
      </w:pPr>
      <w:r>
        <w:rPr>
          <w:szCs w:val="24"/>
        </w:rPr>
        <w:t>Seller may also conduct other discretionary tests, at times and for durations reasonably agreed to by Company, that Seller deems necessary for purposes of reliably operating the Facility or for re-performing a required Test.  If such discretionary testing is conducted during a day in which Company has dispatched the Facility being tested (“</w:t>
      </w:r>
      <w:r>
        <w:rPr>
          <w:szCs w:val="24"/>
          <w:u w:val="single"/>
        </w:rPr>
        <w:t>Company Dispatched Test</w:t>
      </w:r>
      <w:r>
        <w:rPr>
          <w:szCs w:val="24"/>
        </w:rPr>
        <w:t xml:space="preserve">”), Seller shall not be obligated to pay for the electricity required to charge the Battery Storage System relating to such Company Dispatched Test of the Battery Storage </w:t>
      </w:r>
      <w:proofErr w:type="gramStart"/>
      <w:r>
        <w:rPr>
          <w:szCs w:val="24"/>
        </w:rPr>
        <w:t>System, and</w:t>
      </w:r>
      <w:proofErr w:type="gramEnd"/>
      <w:r>
        <w:rPr>
          <w:szCs w:val="24"/>
        </w:rPr>
        <w:t xml:space="preserve"> Discharging Energy from the Facility shall be treated as dispatched by Company hereunder.  If discretionary testing is conducted during a day in which Company has not dispatched the Facility being tested (“</w:t>
      </w:r>
      <w:r>
        <w:rPr>
          <w:szCs w:val="24"/>
          <w:u w:val="single"/>
        </w:rPr>
        <w:t>Seller Initiated Test</w:t>
      </w:r>
      <w:r>
        <w:rPr>
          <w:szCs w:val="24"/>
        </w:rPr>
        <w:t>”), then Company shall provide all electricity required to charge the Battery Storage System; provided that Company shall reasonably cooperate with Seller in its efforts to perform the Seller Initiated Test at a time that will mitigate the costs of such Energy (including, if requested by Seller, by providing Seller with projections of the Charging Energy Price for periods during which such price is determined by Company in its sole discretion pursuant to its cost calculator), and Seller shall reimburse Company for the cost of such Charging Energy used to charge the Battery Storage System to the extent that it exceeds the</w:t>
      </w:r>
      <w:r w:rsidR="00510665">
        <w:rPr>
          <w:szCs w:val="24"/>
        </w:rPr>
        <w:t xml:space="preserve"> cost of the</w:t>
      </w:r>
      <w:r>
        <w:rPr>
          <w:szCs w:val="24"/>
        </w:rPr>
        <w:t xml:space="preserve"> Discharging Energy discharged by the Battery Storage System during such Seller </w:t>
      </w:r>
      <w:r>
        <w:rPr>
          <w:szCs w:val="24"/>
        </w:rPr>
        <w:lastRenderedPageBreak/>
        <w:t xml:space="preserve">Initiated Test (based on the Charging Energy Price at the time of charging and the Discharging Energy Price at the time of discharging).  Company shall reasonably cooperate with Seller to schedule testing during periods when Company is dispatching the Facility so that such testing will be deemed to be a Company Dispatched Test; provided that Company is not required to use or change its utilization of its owned or controlled assets or market positions to facilitate the characterization of such testing as a Company Dispatched Test. </w:t>
      </w:r>
    </w:p>
    <w:p w:rsidR="0079779A" w:rsidRDefault="003E5439" w14:paraId="0C79F26F" w14:textId="77777777">
      <w:pPr>
        <w:pStyle w:val="ArticleL1"/>
        <w:keepNext w:val="0"/>
      </w:pPr>
      <w:bookmarkStart w:name="_Toc288027253" w:id="106"/>
      <w:bookmarkStart w:name="_Toc433953972" w:id="107"/>
      <w:bookmarkStart w:name="_Toc433954130" w:id="108"/>
      <w:r>
        <w:t>Conditions Precedent</w:t>
      </w:r>
      <w:bookmarkEnd w:id="106"/>
      <w:bookmarkEnd w:id="107"/>
      <w:bookmarkEnd w:id="108"/>
      <w:r>
        <w:fldChar w:fldCharType="begin"/>
      </w:r>
      <w:r>
        <w:instrText>tc "</w:instrText>
      </w:r>
      <w:bookmarkStart w:name="_Toc531859608" w:id="109"/>
      <w:bookmarkStart w:name="_Toc119238910" w:id="110"/>
      <w:r>
        <w:instrText>Article 6 – Conditions Precedent</w:instrText>
      </w:r>
      <w:bookmarkEnd w:id="109"/>
      <w:bookmarkEnd w:id="110"/>
      <w:r>
        <w:instrText>” \f C \l 1</w:instrText>
      </w:r>
      <w:r>
        <w:fldChar w:fldCharType="end"/>
      </w:r>
      <w:r>
        <w:fldChar w:fldCharType="begin"/>
      </w:r>
      <w:r>
        <w:instrText xml:space="preserve"> TC </w:instrText>
      </w:r>
      <w:r>
        <w:fldChar w:fldCharType="end"/>
      </w:r>
    </w:p>
    <w:p w:rsidR="0079779A" w:rsidRDefault="003E5439" w14:paraId="3D5656A7" w14:textId="77777777">
      <w:pPr>
        <w:pStyle w:val="ArticleL2"/>
        <w:keepNext w:val="0"/>
      </w:pPr>
      <w:bookmarkStart w:name="_Toc433953973" w:id="111"/>
      <w:bookmarkStart w:name="_Toc433954131" w:id="112"/>
      <w:bookmarkStart w:name="_Toc288027254" w:id="113"/>
      <w:r>
        <w:rPr>
          <w:u w:val="single"/>
        </w:rPr>
        <w:t>PUC Approval</w:t>
      </w:r>
      <w:r>
        <w:fldChar w:fldCharType="begin"/>
      </w:r>
      <w:r>
        <w:instrText>tc "</w:instrText>
      </w:r>
      <w:bookmarkStart w:name="_Toc531859609" w:id="114"/>
      <w:bookmarkStart w:name="_Toc119238911" w:id="115"/>
      <w:r>
        <w:instrText>6.1</w:instrText>
      </w:r>
      <w:r>
        <w:tab/>
        <w:instrText>PUC Approval</w:instrText>
      </w:r>
      <w:bookmarkEnd w:id="114"/>
      <w:bookmarkEnd w:id="115"/>
      <w:r>
        <w:instrText>” \f C \l 2</w:instrText>
      </w:r>
      <w:r>
        <w:fldChar w:fldCharType="end"/>
      </w:r>
      <w:r>
        <w:t>.</w:t>
      </w:r>
      <w:bookmarkEnd w:id="111"/>
      <w:bookmarkEnd w:id="112"/>
      <w:r>
        <w:t xml:space="preserve"> </w:t>
      </w:r>
    </w:p>
    <w:p w:rsidR="0079779A" w:rsidRDefault="003E5439" w14:paraId="344725B3" w14:textId="77777777">
      <w:pPr>
        <w:pStyle w:val="ArticleL3"/>
        <w:keepNext w:val="0"/>
      </w:pPr>
      <w:r>
        <w:t xml:space="preserve">No later than forty-five (45) Days after the date of this PPA, Company may apply to the PUC for PUC Approval.  If Company fails to apply for PUC Approval within forty-five (45) Days following the Effective Date, Company shall be deemed to have waived its right to obtain PUC Approval and to terminate this PPA under this </w:t>
      </w:r>
      <w:r>
        <w:rPr>
          <w:u w:val="single"/>
        </w:rPr>
        <w:t>Section 6.1</w:t>
      </w:r>
      <w:r>
        <w:t xml:space="preserve">, and this PPA shall remain in full force and effect thereafter.  </w:t>
      </w:r>
    </w:p>
    <w:p w:rsidR="0079779A" w:rsidRDefault="003E5439" w14:paraId="287E267C" w14:textId="77777777">
      <w:pPr>
        <w:pStyle w:val="ArticleL3"/>
        <w:keepNext w:val="0"/>
      </w:pPr>
      <w:r>
        <w:t xml:space="preserve">If Company applies for PUC Approval, Company shall use Commercially Reasonable Efforts to obtain PUC Approval as soon as reasonably practicable, and Seller shall cooperate with such efforts.      </w:t>
      </w:r>
    </w:p>
    <w:p w:rsidR="0079779A" w:rsidRDefault="003E5439" w14:paraId="0A973074" w14:textId="77777777">
      <w:pPr>
        <w:pStyle w:val="ArticleL3"/>
        <w:keepNext w:val="0"/>
      </w:pPr>
      <w:r>
        <w:t xml:space="preserve">If Company applies for PUC Approval, Company shall have the right to terminate this PPA, without any further financial or other obligation to Seller as a result of such termination, by notice to Seller </w:t>
      </w:r>
    </w:p>
    <w:p w:rsidR="0079779A" w:rsidP="00BA6F11" w:rsidRDefault="003E5439" w14:paraId="652A779A" w14:textId="77777777">
      <w:pPr>
        <w:pStyle w:val="ArticleL4"/>
        <w:keepNext w:val="0"/>
        <w:widowControl w:val="0"/>
        <w:numPr>
          <w:ilvl w:val="0"/>
          <w:numId w:val="64"/>
        </w:numPr>
      </w:pPr>
      <w:r>
        <w:t xml:space="preserve">at any time within thirty (30) Days following issuance of a written order by the PUC rejecting PUC Approval, or granting PUC Approval with conditions unacceptable to Company in its sole </w:t>
      </w:r>
      <w:proofErr w:type="gramStart"/>
      <w:r>
        <w:t>discretion;</w:t>
      </w:r>
      <w:proofErr w:type="gramEnd"/>
    </w:p>
    <w:p w:rsidR="0079779A" w:rsidP="00BA6F11" w:rsidRDefault="003E5439" w14:paraId="293B4842" w14:textId="77777777">
      <w:pPr>
        <w:pStyle w:val="ArticleL4"/>
        <w:keepNext w:val="0"/>
        <w:widowControl w:val="0"/>
        <w:numPr>
          <w:ilvl w:val="0"/>
          <w:numId w:val="64"/>
        </w:numPr>
      </w:pPr>
      <w:r>
        <w:t>at any time between the two hundred fiftieth (250</w:t>
      </w:r>
      <w:r>
        <w:rPr>
          <w:vertAlign w:val="superscript"/>
        </w:rPr>
        <w:t>th</w:t>
      </w:r>
      <w:r>
        <w:t>) and two hundred eightieth (280</w:t>
      </w:r>
      <w:r>
        <w:rPr>
          <w:vertAlign w:val="superscript"/>
        </w:rPr>
        <w:t>th</w:t>
      </w:r>
      <w:r>
        <w:t xml:space="preserve">) Day following Company’s application for PUC Approval, if prior to the date of such termination the PUC has not issued a written order granting or rejecting PUC </w:t>
      </w:r>
      <w:proofErr w:type="gramStart"/>
      <w:r>
        <w:t>Approval;</w:t>
      </w:r>
      <w:proofErr w:type="gramEnd"/>
      <w:r>
        <w:t xml:space="preserve"> </w:t>
      </w:r>
    </w:p>
    <w:p w:rsidR="0079779A" w:rsidP="00BA6F11" w:rsidRDefault="003E5439" w14:paraId="624FC25F" w14:textId="77777777">
      <w:pPr>
        <w:pStyle w:val="ArticleL4"/>
        <w:keepNext w:val="0"/>
        <w:widowControl w:val="0"/>
        <w:numPr>
          <w:ilvl w:val="0"/>
          <w:numId w:val="64"/>
        </w:numPr>
      </w:pPr>
      <w:r>
        <w:t xml:space="preserve">at any time within thirty (30) Days following timely request for reconsideration (in whole or in any material part) by any third party with standing, of a written PUC order granting PUC Approval; and/or  </w:t>
      </w:r>
    </w:p>
    <w:p w:rsidR="0079779A" w:rsidP="00BA6F11" w:rsidRDefault="003E5439" w14:paraId="28E0B1C5" w14:textId="77777777">
      <w:pPr>
        <w:pStyle w:val="ArticleL4"/>
        <w:keepNext w:val="0"/>
        <w:widowControl w:val="0"/>
        <w:numPr>
          <w:ilvl w:val="0"/>
          <w:numId w:val="64"/>
        </w:numPr>
      </w:pPr>
      <w:r>
        <w:t xml:space="preserve">at any time within 30 Days following timely appeal by any party with standing, of a written PUC order granting PUC Approval.  </w:t>
      </w:r>
    </w:p>
    <w:p w:rsidR="0079779A" w:rsidP="00BA6F11" w:rsidRDefault="003E5439" w14:paraId="4F10A4B0" w14:textId="77777777">
      <w:pPr>
        <w:pStyle w:val="ArticleL4"/>
        <w:keepNext w:val="0"/>
        <w:widowControl w:val="0"/>
        <w:numPr>
          <w:ilvl w:val="0"/>
          <w:numId w:val="0"/>
        </w:numPr>
        <w:ind w:firstLine="720"/>
      </w:pPr>
      <w:r>
        <w:t xml:space="preserve">If Company is eligible but fails to terminate this PPA by the applicable date, Company shall be deemed to have waived its right to terminate this PPA under this </w:t>
      </w:r>
      <w:r>
        <w:rPr>
          <w:u w:val="single"/>
        </w:rPr>
        <w:t>Section 6.1(C)</w:t>
      </w:r>
      <w:r>
        <w:t>, and this PPA shall remain in full force and effect thereafter.</w:t>
      </w:r>
    </w:p>
    <w:p w:rsidR="0079779A" w:rsidP="00BA6F11" w:rsidRDefault="003E5439" w14:paraId="4C8AD0C6" w14:textId="77777777">
      <w:pPr>
        <w:pStyle w:val="ArticleL3"/>
        <w:keepNext w:val="0"/>
        <w:widowControl w:val="0"/>
      </w:pPr>
      <w:r>
        <w:t>For purposes of this PPA, “</w:t>
      </w:r>
      <w:r>
        <w:rPr>
          <w:u w:val="single"/>
        </w:rPr>
        <w:t>PUC Approval</w:t>
      </w:r>
      <w:r>
        <w:t>” means</w:t>
      </w:r>
      <w:bookmarkStart w:name="_Toc433953975" w:id="116"/>
      <w:bookmarkStart w:name="_Toc433954133" w:id="117"/>
      <w:r>
        <w:t xml:space="preserve"> a written order of the PUC making an affirmative determination that all costs incurred under this PPA are recoverable from Company’s retail customers pursuant to Applicable Law, subject only to the requirement that the PUC retains ongoing prudency review of Company’s performance and administration of this PPA, as determined by Company in its sole </w:t>
      </w:r>
      <w:r>
        <w:lastRenderedPageBreak/>
        <w:t>discretion.</w:t>
      </w:r>
      <w:bookmarkEnd w:id="116"/>
      <w:bookmarkEnd w:id="117"/>
    </w:p>
    <w:p w:rsidR="0079779A" w:rsidP="00BA6F11" w:rsidRDefault="003E5439" w14:paraId="047817CC" w14:textId="77777777">
      <w:pPr>
        <w:pStyle w:val="ArticleL2"/>
        <w:keepNext w:val="0"/>
        <w:widowControl w:val="0"/>
      </w:pPr>
      <w:bookmarkStart w:name="_Toc433953978" w:id="118"/>
      <w:bookmarkStart w:name="_Toc433954136" w:id="119"/>
      <w:r>
        <w:rPr>
          <w:u w:val="single"/>
        </w:rPr>
        <w:t>Other Company CPs</w:t>
      </w:r>
      <w:r>
        <w:fldChar w:fldCharType="begin"/>
      </w:r>
      <w:r>
        <w:instrText>tc "</w:instrText>
      </w:r>
      <w:bookmarkStart w:name="_Toc531859610" w:id="120"/>
      <w:bookmarkStart w:name="_Toc119238912" w:id="121"/>
      <w:r>
        <w:instrText>6.2</w:instrText>
      </w:r>
      <w:r>
        <w:tab/>
        <w:instrText>Other Company CPs</w:instrText>
      </w:r>
      <w:bookmarkEnd w:id="120"/>
      <w:bookmarkEnd w:id="121"/>
      <w:r>
        <w:instrText>” \f C \l 2</w:instrText>
      </w:r>
      <w:r>
        <w:fldChar w:fldCharType="end"/>
      </w:r>
      <w:r>
        <w:t xml:space="preserve">.  </w:t>
      </w:r>
      <w:r>
        <w:rPr>
          <w:i/>
        </w:rPr>
        <w:t>[</w:t>
      </w:r>
      <w:r>
        <w:rPr>
          <w:i/>
          <w:highlight w:val="yellow"/>
        </w:rPr>
        <w:t>if any</w:t>
      </w:r>
      <w:r>
        <w:rPr>
          <w:i/>
        </w:rPr>
        <w:t>]</w:t>
      </w:r>
      <w:r>
        <w:t>.</w:t>
      </w:r>
      <w:bookmarkEnd w:id="118"/>
      <w:bookmarkEnd w:id="119"/>
    </w:p>
    <w:p w:rsidR="0079779A" w:rsidP="00BA6F11" w:rsidRDefault="003E5439" w14:paraId="0E3594C0" w14:textId="77777777">
      <w:pPr>
        <w:pStyle w:val="ArticleL2"/>
        <w:keepNext w:val="0"/>
        <w:widowControl w:val="0"/>
      </w:pPr>
      <w:bookmarkStart w:name="_Toc433953979" w:id="122"/>
      <w:bookmarkStart w:name="_Toc433954137" w:id="123"/>
      <w:r>
        <w:rPr>
          <w:u w:val="single"/>
        </w:rPr>
        <w:t>Seller CPs</w:t>
      </w:r>
      <w:r>
        <w:rPr>
          <w:color w:val="000000"/>
        </w:rPr>
        <w:fldChar w:fldCharType="begin"/>
      </w:r>
      <w:r>
        <w:rPr>
          <w:color w:val="000000"/>
        </w:rPr>
        <w:instrText>tc "</w:instrText>
      </w:r>
      <w:bookmarkStart w:name="_Toc531859611" w:id="124"/>
      <w:bookmarkStart w:name="_Toc119238913" w:id="125"/>
      <w:r>
        <w:rPr>
          <w:color w:val="000000"/>
        </w:rPr>
        <w:instrText>6.3</w:instrText>
      </w:r>
      <w:r>
        <w:rPr>
          <w:color w:val="000000"/>
        </w:rPr>
        <w:tab/>
        <w:instrText>Seller CPs</w:instrText>
      </w:r>
      <w:bookmarkEnd w:id="124"/>
      <w:bookmarkEnd w:id="125"/>
      <w:r>
        <w:rPr>
          <w:color w:val="000000"/>
        </w:rPr>
        <w:instrText>” \f C \l 2</w:instrText>
      </w:r>
      <w:r>
        <w:rPr>
          <w:color w:val="000000"/>
        </w:rPr>
        <w:fldChar w:fldCharType="end"/>
      </w:r>
      <w:r>
        <w:t xml:space="preserve">.  </w:t>
      </w:r>
      <w:r>
        <w:rPr>
          <w:i/>
        </w:rPr>
        <w:t>[</w:t>
      </w:r>
      <w:r>
        <w:rPr>
          <w:i/>
          <w:highlight w:val="yellow"/>
        </w:rPr>
        <w:t>if any - bid specific</w:t>
      </w:r>
      <w:r>
        <w:rPr>
          <w:i/>
        </w:rPr>
        <w:t>]</w:t>
      </w:r>
      <w:r>
        <w:t>.</w:t>
      </w:r>
      <w:bookmarkEnd w:id="113"/>
      <w:bookmarkEnd w:id="122"/>
      <w:bookmarkEnd w:id="123"/>
    </w:p>
    <w:p w:rsidR="0079779A" w:rsidP="00BA6F11" w:rsidRDefault="003E5439" w14:paraId="38984099" w14:textId="77777777">
      <w:pPr>
        <w:pStyle w:val="ArticleL2"/>
        <w:keepNext w:val="0"/>
        <w:widowControl w:val="0"/>
        <w:tabs>
          <w:tab w:val="clear" w:pos="1440"/>
        </w:tabs>
      </w:pPr>
      <w:bookmarkStart w:name="_Toc527109230" w:id="126"/>
      <w:r>
        <w:t xml:space="preserve">Following a termination pursuant to </w:t>
      </w:r>
      <w:r>
        <w:rPr>
          <w:u w:val="single"/>
        </w:rPr>
        <w:t>Section 6.1</w:t>
      </w:r>
      <w:r>
        <w:t xml:space="preserve"> [</w:t>
      </w:r>
      <w:r>
        <w:rPr>
          <w:highlight w:val="yellow"/>
        </w:rPr>
        <w:t xml:space="preserve">or </w:t>
      </w:r>
      <w:r>
        <w:rPr>
          <w:highlight w:val="yellow"/>
          <w:u w:val="single"/>
        </w:rPr>
        <w:t>Section 6.3</w:t>
      </w:r>
      <w:r>
        <w:rPr>
          <w:u w:val="single"/>
        </w:rPr>
        <w:t>]</w:t>
      </w:r>
      <w:r>
        <w:t>, the Company will return to Seller the initial Security Fund within five (5) Business Days of such termination.</w:t>
      </w:r>
      <w:bookmarkEnd w:id="126"/>
    </w:p>
    <w:p w:rsidR="0079779A" w:rsidP="00BA6F11" w:rsidRDefault="003E5439" w14:paraId="43F305EC" w14:textId="77777777">
      <w:pPr>
        <w:pStyle w:val="ArticleL1"/>
        <w:keepNext w:val="0"/>
        <w:widowControl w:val="0"/>
      </w:pPr>
      <w:bookmarkStart w:name="_Toc288027257" w:id="127"/>
      <w:bookmarkStart w:name="_Toc433953980" w:id="128"/>
      <w:bookmarkStart w:name="_Toc433954138" w:id="129"/>
      <w:r>
        <w:t>Sale and Purchase</w:t>
      </w:r>
      <w:bookmarkEnd w:id="127"/>
      <w:bookmarkEnd w:id="128"/>
      <w:bookmarkEnd w:id="129"/>
      <w:r>
        <w:fldChar w:fldCharType="begin"/>
      </w:r>
      <w:r>
        <w:instrText>tc "</w:instrText>
      </w:r>
      <w:bookmarkStart w:name="_Toc531859612" w:id="130"/>
      <w:bookmarkStart w:name="_Toc119238914" w:id="131"/>
      <w:r>
        <w:instrText>Article 7 – Sale and Purchase</w:instrText>
      </w:r>
      <w:bookmarkEnd w:id="130"/>
      <w:bookmarkEnd w:id="131"/>
      <w:r>
        <w:instrText>” \f C \l 1</w:instrText>
      </w:r>
      <w:r>
        <w:fldChar w:fldCharType="end"/>
      </w:r>
      <w:r>
        <w:fldChar w:fldCharType="begin"/>
      </w:r>
      <w:r>
        <w:instrText xml:space="preserve"> TC </w:instrText>
      </w:r>
      <w:r>
        <w:fldChar w:fldCharType="end"/>
      </w:r>
    </w:p>
    <w:p w:rsidR="0079779A" w:rsidP="00BA6F11" w:rsidRDefault="003E5439" w14:paraId="5D370E7E" w14:textId="77777777">
      <w:pPr>
        <w:pStyle w:val="ArticleL2"/>
        <w:keepNext w:val="0"/>
        <w:widowControl w:val="0"/>
      </w:pPr>
      <w:bookmarkStart w:name="_Toc433953981" w:id="132"/>
      <w:bookmarkStart w:name="_Toc433954139" w:id="133"/>
      <w:bookmarkStart w:name="_Toc288027258" w:id="134"/>
      <w:r>
        <w:rPr>
          <w:u w:val="single"/>
        </w:rPr>
        <w:t>General Obligation</w:t>
      </w:r>
      <w:r>
        <w:fldChar w:fldCharType="begin"/>
      </w:r>
      <w:r>
        <w:instrText>tc "</w:instrText>
      </w:r>
      <w:bookmarkStart w:name="_Toc531859613" w:id="135"/>
      <w:bookmarkStart w:name="_Toc119238915" w:id="136"/>
      <w:r>
        <w:instrText>7.1</w:instrText>
      </w:r>
      <w:r>
        <w:tab/>
        <w:instrText>General Obligation</w:instrText>
      </w:r>
      <w:bookmarkEnd w:id="135"/>
      <w:bookmarkEnd w:id="136"/>
      <w:r>
        <w:instrText>” \f C \l 2</w:instrText>
      </w:r>
      <w:r>
        <w:fldChar w:fldCharType="end"/>
      </w:r>
      <w:r>
        <w:t>.</w:t>
      </w:r>
      <w:bookmarkEnd w:id="132"/>
      <w:bookmarkEnd w:id="133"/>
      <w:r>
        <w:t xml:space="preserve">  </w:t>
      </w:r>
      <w:bookmarkEnd w:id="134"/>
    </w:p>
    <w:p w:rsidR="0079779A" w:rsidP="00BA6F11" w:rsidRDefault="003E5439" w14:paraId="2433D6DC" w14:textId="77777777">
      <w:pPr>
        <w:pStyle w:val="ArticleL3"/>
        <w:keepNext w:val="0"/>
        <w:widowControl w:val="0"/>
      </w:pPr>
      <w:r>
        <w:t xml:space="preserve">Beginning on the Commercial Operation Date, Seller shall receive at the Point of Delivery, store in the Battery Storage System, and deliver to the Point of Delivery, and Company shall receive at the Point of Delivery, the Energy and other products and services required by this PPA.  Seller shall not curtail or interrupt deliveries of Energy to Company for economic reasons of any type.  </w:t>
      </w:r>
    </w:p>
    <w:p w:rsidR="0079779A" w:rsidP="00BA6F11" w:rsidRDefault="003E5439" w14:paraId="73C67CA7" w14:textId="77777777">
      <w:pPr>
        <w:pStyle w:val="ArticleL3"/>
        <w:keepNext w:val="0"/>
        <w:widowControl w:val="0"/>
      </w:pPr>
      <w:r>
        <w:t xml:space="preserve">Title and risk of loss of the products and services transacted by this PPA shall transfer from Seller to Company at the Point of Delivery. </w:t>
      </w:r>
    </w:p>
    <w:p w:rsidR="0079779A" w:rsidP="00BA6F11" w:rsidRDefault="003E5439" w14:paraId="20A8FE7E" w14:textId="77777777">
      <w:pPr>
        <w:pStyle w:val="ArticleL2"/>
        <w:keepNext w:val="0"/>
        <w:widowControl w:val="0"/>
      </w:pPr>
      <w:bookmarkStart w:name="_Toc288027260" w:id="137"/>
      <w:bookmarkStart w:name="_Toc433953982" w:id="138"/>
      <w:bookmarkStart w:name="_Toc433954140" w:id="139"/>
      <w:r>
        <w:rPr>
          <w:u w:val="single"/>
        </w:rPr>
        <w:t>Dispatch</w:t>
      </w:r>
      <w:r>
        <w:rPr>
          <w:color w:val="000000"/>
        </w:rPr>
        <w:fldChar w:fldCharType="begin"/>
      </w:r>
      <w:r>
        <w:rPr>
          <w:color w:val="000000"/>
        </w:rPr>
        <w:instrText>tc "</w:instrText>
      </w:r>
      <w:bookmarkStart w:name="_Toc531859614" w:id="140"/>
      <w:bookmarkStart w:name="_Toc119238916" w:id="141"/>
      <w:r>
        <w:rPr>
          <w:color w:val="000000"/>
        </w:rPr>
        <w:instrText>7.2</w:instrText>
      </w:r>
      <w:r>
        <w:rPr>
          <w:color w:val="000000"/>
        </w:rPr>
        <w:tab/>
        <w:instrText>AGC</w:instrText>
      </w:r>
      <w:bookmarkEnd w:id="140"/>
      <w:bookmarkEnd w:id="141"/>
      <w:r>
        <w:rPr>
          <w:color w:val="000000"/>
        </w:rPr>
        <w:instrText>” \f C \l 2</w:instrText>
      </w:r>
      <w:r>
        <w:rPr>
          <w:color w:val="000000"/>
        </w:rPr>
        <w:fldChar w:fldCharType="end"/>
      </w:r>
      <w:r>
        <w:t>.</w:t>
      </w:r>
      <w:bookmarkEnd w:id="137"/>
      <w:r>
        <w:t xml:space="preserve">  Beginning on the Commercial Operation Date, Company shall dispatch the Facility through the EMCC AGC system in accordance with </w:t>
      </w:r>
      <w:r>
        <w:rPr>
          <w:u w:val="single"/>
        </w:rPr>
        <w:t xml:space="preserve">Exhibit I – AGC Protocols; Dispatch </w:t>
      </w:r>
      <w:proofErr w:type="gramStart"/>
      <w:r>
        <w:rPr>
          <w:u w:val="single"/>
        </w:rPr>
        <w:t>And</w:t>
      </w:r>
      <w:proofErr w:type="gramEnd"/>
      <w:r>
        <w:rPr>
          <w:u w:val="single"/>
        </w:rPr>
        <w:t xml:space="preserve"> Availability Notices; Data Collection; Technical Specifications</w:t>
      </w:r>
      <w:r>
        <w:t>.  Seller shall ensure that, throughout the Term</w:t>
      </w:r>
      <w:bookmarkEnd w:id="138"/>
      <w:bookmarkEnd w:id="139"/>
      <w:r>
        <w:t>, the SCADA signal is capable of functioning on all AGC Set Points within the margin of error specified in the manufacturer’s energy set point margin of error.</w:t>
      </w:r>
    </w:p>
    <w:p w:rsidR="0079779A" w:rsidP="00BA6F11" w:rsidRDefault="003E5439" w14:paraId="0E37E9F0" w14:textId="77777777">
      <w:pPr>
        <w:pStyle w:val="ArticleL2"/>
        <w:keepNext w:val="0"/>
        <w:widowControl w:val="0"/>
      </w:pPr>
      <w:bookmarkStart w:name="_Toc433953984" w:id="142"/>
      <w:bookmarkStart w:name="_Toc433954142" w:id="143"/>
      <w:bookmarkStart w:name="_Toc433953983" w:id="144"/>
      <w:bookmarkStart w:name="_Toc433954141" w:id="145"/>
      <w:bookmarkStart w:name="_Toc288027261" w:id="146"/>
      <w:r>
        <w:rPr>
          <w:u w:val="single"/>
        </w:rPr>
        <w:t>Battery Storage System Dispatch</w:t>
      </w:r>
      <w:r>
        <w:fldChar w:fldCharType="begin"/>
      </w:r>
      <w:r>
        <w:instrText>tc "</w:instrText>
      </w:r>
      <w:bookmarkStart w:name="_Toc531859615" w:id="147"/>
      <w:bookmarkStart w:name="_Toc119238917" w:id="148"/>
      <w:r>
        <w:instrText>7.3</w:instrText>
      </w:r>
      <w:r>
        <w:tab/>
        <w:instrText>Battery Storage System Dispatch</w:instrText>
      </w:r>
      <w:bookmarkEnd w:id="147"/>
      <w:bookmarkEnd w:id="148"/>
      <w:r>
        <w:instrText>” \f C \l 2</w:instrText>
      </w:r>
      <w:r>
        <w:fldChar w:fldCharType="end"/>
      </w:r>
      <w:r>
        <w:t xml:space="preserve">.  </w:t>
      </w:r>
    </w:p>
    <w:p w:rsidR="0079779A" w:rsidP="00BA6F11" w:rsidRDefault="003E5439" w14:paraId="12165E94" w14:textId="77777777">
      <w:pPr>
        <w:pStyle w:val="ArticleL3"/>
        <w:keepNext w:val="0"/>
        <w:widowControl w:val="0"/>
      </w:pPr>
      <w:r>
        <w:t xml:space="preserve">During each Operating Day, Company’s EMCC will have the exclusive right to dispatch the Battery Storage System, seven (7) days per week and twenty-four (24) hours per day (including holidays), by providing Dispatch Notices to Seller electronically in accordance with the Battery Storage System Operating Procedures and subject to the requirements and limitations set forth in this PPA.  Seller shall abide with all directives from Company’s EMCC, subject only to Good Utility Practices. </w:t>
      </w:r>
    </w:p>
    <w:p w:rsidR="0079779A" w:rsidP="00BA6F11" w:rsidRDefault="003E5439" w14:paraId="7F3704B1" w14:textId="77777777">
      <w:pPr>
        <w:pStyle w:val="ArticleL3"/>
        <w:keepNext w:val="0"/>
        <w:widowControl w:val="0"/>
      </w:pPr>
      <w:r>
        <w:rPr>
          <w:bCs/>
        </w:rPr>
        <w:t>For each Operating Day</w:t>
      </w:r>
      <w:r>
        <w:t xml:space="preserve">, Seller shall provide to Company (in accordance with the protocols outlined in </w:t>
      </w:r>
      <w:r>
        <w:rPr>
          <w:u w:val="single"/>
        </w:rPr>
        <w:t>Exhibit O – Battery Storage System Operating Procedures</w:t>
      </w:r>
      <w:r>
        <w:t xml:space="preserve"> and as may be updated by written agreement of the Operating Committee pursuant to </w:t>
      </w:r>
      <w:r>
        <w:rPr>
          <w:u w:val="single"/>
        </w:rPr>
        <w:t>Section 10.8</w:t>
      </w:r>
      <w:r>
        <w:t>) an hourly schedule of the expected availability of the Battery Storage System for such Operating Day, no later than two (2) Business Days before such Operating Day (the “</w:t>
      </w:r>
      <w:r>
        <w:rPr>
          <w:u w:val="single"/>
        </w:rPr>
        <w:t>Availability Notice</w:t>
      </w:r>
      <w:r>
        <w:t xml:space="preserve">”).  Seller must update Company immediately, unless an event or circumstance makes it unsafe to do so, then as soon as practicable, in accordance with the protocols outlined in </w:t>
      </w:r>
      <w:r>
        <w:rPr>
          <w:u w:val="single"/>
        </w:rPr>
        <w:t>Exhibit O – Battery Storage System Operating Procedures</w:t>
      </w:r>
      <w:r>
        <w:t xml:space="preserve"> if the availability of the Battery Storage System for dispatch by Company changes or is likely to change after the Availability Notice is submitted.  Seller shall accommodate Company’s reasonable requests for changes in the time or form of delivery of the Availability Notices.  </w:t>
      </w:r>
    </w:p>
    <w:p w:rsidR="0079779A" w:rsidP="00BA6F11" w:rsidRDefault="003E5439" w14:paraId="7CBBEB97" w14:textId="77777777">
      <w:pPr>
        <w:pStyle w:val="ArticleL2"/>
        <w:keepNext w:val="0"/>
        <w:widowControl w:val="0"/>
      </w:pPr>
      <w:r>
        <w:rPr>
          <w:u w:val="single"/>
        </w:rPr>
        <w:lastRenderedPageBreak/>
        <w:t>Reserved</w:t>
      </w:r>
      <w:r>
        <w:t xml:space="preserve">.  </w:t>
      </w:r>
      <w:r>
        <w:fldChar w:fldCharType="begin"/>
      </w:r>
      <w:r>
        <w:instrText>tc "</w:instrText>
      </w:r>
      <w:bookmarkStart w:name="_Toc119238918" w:id="149"/>
      <w:r>
        <w:instrText>7.4</w:instrText>
      </w:r>
      <w:r>
        <w:tab/>
        <w:instrText>Reserved</w:instrText>
      </w:r>
      <w:bookmarkEnd w:id="149"/>
      <w:r>
        <w:instrText>” \f C \l 2</w:instrText>
      </w:r>
      <w:r>
        <w:fldChar w:fldCharType="end"/>
      </w:r>
    </w:p>
    <w:p w:rsidR="0079779A" w:rsidP="00BA6F11" w:rsidRDefault="0079779A" w14:paraId="5049F245" w14:textId="77777777">
      <w:pPr>
        <w:pStyle w:val="BodyText"/>
        <w:widowControl w:val="0"/>
        <w:spacing w:after="0"/>
        <w:jc w:val="both"/>
        <w:rPr>
          <w:rFonts w:cs="Arial"/>
          <w:lang w:val="en-US" w:eastAsia="en-US"/>
        </w:rPr>
      </w:pPr>
    </w:p>
    <w:p w:rsidR="0079779A" w:rsidP="00BA6F11" w:rsidRDefault="003E5439" w14:paraId="3FE028FE" w14:textId="77777777">
      <w:pPr>
        <w:pStyle w:val="ArticleL2"/>
        <w:keepNext w:val="0"/>
        <w:widowControl w:val="0"/>
      </w:pPr>
      <w:r>
        <w:rPr>
          <w:u w:val="single"/>
        </w:rPr>
        <w:t>Ancillary Services</w:t>
      </w:r>
      <w:r>
        <w:fldChar w:fldCharType="begin"/>
      </w:r>
      <w:r>
        <w:instrText>tc "</w:instrText>
      </w:r>
      <w:bookmarkStart w:name="_Toc433959621" w:id="150"/>
      <w:bookmarkStart w:name="_Toc531859617" w:id="151"/>
      <w:bookmarkStart w:name="_Toc119238919" w:id="152"/>
      <w:r>
        <w:instrText>7.5</w:instrText>
      </w:r>
      <w:r>
        <w:tab/>
        <w:instrText>Ancillary Services</w:instrText>
      </w:r>
      <w:bookmarkEnd w:id="150"/>
      <w:bookmarkEnd w:id="151"/>
      <w:bookmarkEnd w:id="152"/>
      <w:r>
        <w:instrText>” \f C \l 2</w:instrText>
      </w:r>
      <w:r>
        <w:fldChar w:fldCharType="end"/>
      </w:r>
      <w:r>
        <w:t xml:space="preserve">.  </w:t>
      </w:r>
    </w:p>
    <w:p w:rsidR="0079779A" w:rsidP="00BA6F11" w:rsidRDefault="003E5439" w14:paraId="15916FA5" w14:textId="77777777">
      <w:pPr>
        <w:pStyle w:val="ArticleL3"/>
        <w:keepNext w:val="0"/>
        <w:widowControl w:val="0"/>
      </w:pPr>
      <w:bookmarkStart w:name="_Hlk46910450" w:id="153"/>
      <w:bookmarkEnd w:id="142"/>
      <w:bookmarkEnd w:id="143"/>
      <w:r>
        <w:t>During the Term, Seller shall make available to Company and Company shall own, all Ancillary Services associated with the Facility, including but not limited to the sole right to sell the Ancillary Services associated with the Facility and to retain all revenues therefrom.  Seller shall use Commercially Reasonable Efforts to maximize the Ancillary Services available from the Facility.</w:t>
      </w:r>
      <w:bookmarkEnd w:id="153"/>
    </w:p>
    <w:p w:rsidR="0079779A" w:rsidP="00BA6F11" w:rsidRDefault="003E5439" w14:paraId="0774B87B" w14:textId="77777777">
      <w:pPr>
        <w:pStyle w:val="ArticleL3"/>
        <w:keepNext w:val="0"/>
        <w:widowControl w:val="0"/>
      </w:pPr>
      <w:r>
        <w:t xml:space="preserve">Any compensation Seller receives under the Interconnection Agreement or otherwise from third parties for Ancillary Services shall be provided to Company at no additional cost to Company under this PPA.  To implement the foregoing, Seller shall credit Company, as a reduction to Seller’s monthly invoice or other mutually-agreed mechanism, for any compensation that Seller receives from third parties for Ancillary Services; </w:t>
      </w:r>
      <w:r>
        <w:rPr>
          <w:i/>
        </w:rPr>
        <w:t>provided</w:t>
      </w:r>
      <w:r>
        <w:t xml:space="preserve">, that if a Governmental Authority or Transmission Authority implements new or revised requirements for generators and/or energy storage resources to create, modify, or supply Ancillary Services, requiring Seller to install additional equipment after the Effective Date to meet such requirements, then Seller, after consultation with Company, shall, if requested to do so by Company, install any such additional equipment and shall be allowed to reduce the amount to be credited to Company for Ancillary Services by an amount sufficient to recover the cost of such additional equipment (up to the amount of any cap agreed to by the Parties for such work).  Any cost not so recovered by Seller in any billing period shall be carried forward as a reduction of the amount of the credit in subsequent billing periods. </w:t>
      </w:r>
    </w:p>
    <w:p w:rsidR="0079779A" w:rsidP="00BA6F11" w:rsidRDefault="003E5439" w14:paraId="23D5E841" w14:textId="77777777">
      <w:pPr>
        <w:pStyle w:val="ArticleL3"/>
        <w:keepNext w:val="0"/>
        <w:widowControl w:val="0"/>
      </w:pPr>
      <w:r>
        <w:t>For purposes hereof, “</w:t>
      </w:r>
      <w:r>
        <w:rPr>
          <w:u w:val="single"/>
        </w:rPr>
        <w:t>Ancillary Services</w:t>
      </w:r>
      <w:r>
        <w:t xml:space="preserve">” means any service associated, directly or indirectly, with the reliable generation, storage and/or transmission of Energy from the Facility from time to time, including but not limited </w:t>
      </w:r>
      <w:proofErr w:type="gramStart"/>
      <w:r>
        <w:t>to:</w:t>
      </w:r>
      <w:proofErr w:type="gramEnd"/>
      <w:r>
        <w:t xml:space="preserve"> operating reserves, ramp capability, reactive supply, reactive supply capability, voltage control, voltage control capability, and any rights to compensation for any of these services. “Ancillary Services” also includes any other identified as an “ancillary service” or “other ancillary service” in the Transmission Tariff. For the avoidance of doubt, “Ancillary Service” includes any service associated, directly or indirectly, with the reliable generation and/or transmission of energy from the Facility, regardless of whether the Facility, the Transmission Authority or the Company is deemed to be the service provider for the service.</w:t>
      </w:r>
    </w:p>
    <w:p w:rsidR="0079779A" w:rsidRDefault="003E5439" w14:paraId="603BC779" w14:textId="77777777">
      <w:pPr>
        <w:pStyle w:val="ArticleL1"/>
        <w:keepNext w:val="0"/>
      </w:pPr>
      <w:bookmarkStart w:name="_DV_M355" w:id="154"/>
      <w:bookmarkStart w:name="_DV_M357" w:id="155"/>
      <w:bookmarkStart w:name="_DV_M358" w:id="156"/>
      <w:bookmarkStart w:name="_DV_M359" w:id="157"/>
      <w:bookmarkStart w:name="_DV_M360" w:id="158"/>
      <w:bookmarkStart w:name="_DV_M361" w:id="159"/>
      <w:bookmarkStart w:name="_DV_M362" w:id="160"/>
      <w:bookmarkStart w:name="_DV_M363" w:id="161"/>
      <w:bookmarkStart w:name="_DV_M364" w:id="162"/>
      <w:bookmarkStart w:name="_DV_M365" w:id="163"/>
      <w:bookmarkStart w:name="_DV_M366" w:id="164"/>
      <w:bookmarkStart w:name="_DV_M367" w:id="165"/>
      <w:bookmarkStart w:name="_DV_M368" w:id="166"/>
      <w:bookmarkStart w:name="_DV_M369" w:id="167"/>
      <w:bookmarkStart w:name="_DV_M370" w:id="168"/>
      <w:bookmarkStart w:name="_DV_M371" w:id="169"/>
      <w:bookmarkStart w:name="_Toc288027262" w:id="170"/>
      <w:bookmarkStart w:name="_Toc433953985" w:id="171"/>
      <w:bookmarkStart w:name="_Toc433954143" w:id="172"/>
      <w:bookmarkEnd w:id="144"/>
      <w:bookmarkEnd w:id="145"/>
      <w:bookmarkEnd w:id="146"/>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t>Payment Calculations</w:t>
      </w:r>
      <w:bookmarkEnd w:id="170"/>
      <w:bookmarkEnd w:id="171"/>
      <w:bookmarkEnd w:id="172"/>
      <w:r>
        <w:fldChar w:fldCharType="begin"/>
      </w:r>
      <w:r>
        <w:instrText>tc "</w:instrText>
      </w:r>
      <w:bookmarkStart w:name="_Toc531859618" w:id="173"/>
      <w:bookmarkStart w:name="_Toc119238920" w:id="174"/>
      <w:r>
        <w:instrText>Article 8 – Payment Calculations</w:instrText>
      </w:r>
      <w:bookmarkEnd w:id="173"/>
      <w:bookmarkEnd w:id="174"/>
      <w:r>
        <w:instrText>” \f C \l 1</w:instrText>
      </w:r>
      <w:r>
        <w:fldChar w:fldCharType="end"/>
      </w:r>
      <w:r>
        <w:fldChar w:fldCharType="begin"/>
      </w:r>
      <w:r>
        <w:instrText xml:space="preserve"> TC </w:instrText>
      </w:r>
      <w:r>
        <w:fldChar w:fldCharType="end"/>
      </w:r>
    </w:p>
    <w:p w:rsidR="0079779A" w:rsidRDefault="003E5439" w14:paraId="70606032" w14:textId="77777777">
      <w:pPr>
        <w:pStyle w:val="ArticleL2"/>
        <w:keepNext w:val="0"/>
      </w:pPr>
      <w:bookmarkStart w:name="_Toc433953986" w:id="175"/>
      <w:bookmarkStart w:name="_Toc433954144" w:id="176"/>
      <w:bookmarkStart w:name="_Toc288027263" w:id="177"/>
      <w:r>
        <w:rPr>
          <w:u w:val="single"/>
        </w:rPr>
        <w:t>Variable O&amp;M Payment</w:t>
      </w:r>
      <w:r>
        <w:fldChar w:fldCharType="begin"/>
      </w:r>
      <w:r>
        <w:instrText>tc "</w:instrText>
      </w:r>
      <w:bookmarkStart w:name="_Toc531859619" w:id="178"/>
      <w:bookmarkStart w:name="_Toc119238921" w:id="179"/>
      <w:r>
        <w:instrText>8.1</w:instrText>
      </w:r>
      <w:r>
        <w:tab/>
        <w:instrText xml:space="preserve">Variable O&amp;M </w:instrText>
      </w:r>
      <w:bookmarkEnd w:id="178"/>
      <w:r>
        <w:instrText>Payment</w:instrText>
      </w:r>
      <w:bookmarkEnd w:id="179"/>
      <w:r>
        <w:instrText>” \f C \l 2</w:instrText>
      </w:r>
      <w:r>
        <w:fldChar w:fldCharType="end"/>
      </w:r>
      <w:r>
        <w:t>.</w:t>
      </w:r>
      <w:bookmarkEnd w:id="175"/>
      <w:bookmarkEnd w:id="176"/>
    </w:p>
    <w:p w:rsidR="0079779A" w:rsidRDefault="003E5439" w14:paraId="3C5745F1" w14:textId="77777777">
      <w:pPr>
        <w:pStyle w:val="ArticleL3"/>
        <w:keepNext w:val="0"/>
      </w:pPr>
      <w:r>
        <w:t>[</w:t>
      </w:r>
      <w:r>
        <w:rPr>
          <w:iCs/>
          <w:u w:val="single"/>
        </w:rPr>
        <w:t>Reserved</w:t>
      </w:r>
      <w:r>
        <w:t xml:space="preserve">]. </w:t>
      </w:r>
    </w:p>
    <w:p w:rsidR="0079779A" w:rsidRDefault="003E5439" w14:paraId="7B22F80D" w14:textId="77777777">
      <w:pPr>
        <w:pStyle w:val="ArticleL3"/>
        <w:keepNext w:val="0"/>
      </w:pPr>
      <w:r>
        <w:t>Commencing on the Commercial Operation Date, Company shall pay Seller a variable monthly charge (such payment in any given month, the “</w:t>
      </w:r>
      <w:r>
        <w:rPr>
          <w:u w:val="single"/>
        </w:rPr>
        <w:t>Variable O&amp;M Payment</w:t>
      </w:r>
      <w:r>
        <w:t>”) based upon the following formula:</w:t>
      </w:r>
    </w:p>
    <w:p w:rsidR="0079779A" w:rsidRDefault="003E5439" w14:paraId="07931232" w14:textId="77777777">
      <w:pPr>
        <w:pStyle w:val="BodyText"/>
        <w:ind w:left="720"/>
        <w:rPr>
          <w:lang w:val="en-US" w:eastAsia="en-US"/>
        </w:rPr>
      </w:pPr>
      <w:r>
        <w:rPr>
          <w:lang w:val="en-US" w:eastAsia="en-US"/>
        </w:rPr>
        <w:t xml:space="preserve">Variable O&amp;M Payment = BPR x </w:t>
      </w:r>
      <w:proofErr w:type="spellStart"/>
      <w:r>
        <w:rPr>
          <w:lang w:val="en-US" w:eastAsia="en-US"/>
        </w:rPr>
        <w:t>E</w:t>
      </w:r>
      <w:r>
        <w:rPr>
          <w:vertAlign w:val="subscript"/>
          <w:lang w:val="en-US" w:eastAsia="en-US"/>
        </w:rPr>
        <w:t>MWh</w:t>
      </w:r>
      <w:proofErr w:type="spellEnd"/>
      <w:r>
        <w:rPr>
          <w:lang w:val="en-US" w:eastAsia="en-US"/>
        </w:rPr>
        <w:t xml:space="preserve">, where: </w:t>
      </w:r>
    </w:p>
    <w:p w:rsidR="0079779A" w:rsidRDefault="003E5439" w14:paraId="302DCB3A" w14:textId="77777777">
      <w:pPr>
        <w:pStyle w:val="BodyText"/>
        <w:ind w:left="720"/>
        <w:rPr>
          <w:u w:val="single"/>
          <w:lang w:val="en-US"/>
        </w:rPr>
      </w:pPr>
      <w:r>
        <w:rPr>
          <w:lang w:val="en-US" w:eastAsia="en-US"/>
        </w:rPr>
        <w:lastRenderedPageBreak/>
        <w:t xml:space="preserve">BPR = Battery Payment Rate, </w:t>
      </w:r>
      <w:r>
        <w:rPr>
          <w:rFonts w:cs="Arial"/>
          <w:lang w:val="en-US"/>
        </w:rPr>
        <w:t xml:space="preserve">as set forth in </w:t>
      </w:r>
      <w:r>
        <w:rPr>
          <w:u w:val="single"/>
        </w:rPr>
        <w:t>Exhibit J</w:t>
      </w:r>
      <w:r>
        <w:rPr>
          <w:u w:val="single"/>
          <w:lang w:val="en-US"/>
        </w:rPr>
        <w:t xml:space="preserve"> – Battery Payment Rate and Capacity Payment Rate</w:t>
      </w:r>
    </w:p>
    <w:p w:rsidR="0079779A" w:rsidRDefault="003E5439" w14:paraId="67DA3959" w14:textId="77777777">
      <w:pPr>
        <w:pStyle w:val="BodyText"/>
        <w:ind w:left="720"/>
        <w:rPr>
          <w:lang w:val="en-US" w:eastAsia="en-US"/>
        </w:rPr>
      </w:pPr>
      <w:proofErr w:type="spellStart"/>
      <w:r>
        <w:rPr>
          <w:lang w:val="en-US" w:eastAsia="en-US"/>
        </w:rPr>
        <w:t>E</w:t>
      </w:r>
      <w:r>
        <w:rPr>
          <w:vertAlign w:val="subscript"/>
          <w:lang w:val="en-US" w:eastAsia="en-US"/>
        </w:rPr>
        <w:t>MWh</w:t>
      </w:r>
      <w:proofErr w:type="spellEnd"/>
      <w:r>
        <w:rPr>
          <w:lang w:val="en-US"/>
        </w:rPr>
        <w:t xml:space="preserve"> = all Discharging Energy delivered by the Facility to the Point of Delivery, expressed in MWh, in any given month </w:t>
      </w:r>
    </w:p>
    <w:p w:rsidR="0079779A" w:rsidRDefault="003E5439" w14:paraId="39D6FDE6" w14:textId="77777777">
      <w:pPr>
        <w:pStyle w:val="ArticleL3"/>
        <w:keepNext w:val="0"/>
      </w:pPr>
      <w:bookmarkStart w:name="_Toc288027264" w:id="180"/>
      <w:bookmarkStart w:name="_Toc433953988" w:id="181"/>
      <w:bookmarkStart w:name="_Toc433954146" w:id="182"/>
      <w:bookmarkEnd w:id="177"/>
      <w:r>
        <w:t xml:space="preserve">The Battery Payment Rate shall be deemed Confidential Information for purposes of </w:t>
      </w:r>
      <w:r>
        <w:rPr>
          <w:u w:val="single"/>
        </w:rPr>
        <w:t>Section 20.18</w:t>
      </w:r>
      <w:r>
        <w:t xml:space="preserve"> below. </w:t>
      </w:r>
    </w:p>
    <w:p w:rsidR="0079779A" w:rsidRDefault="003E5439" w14:paraId="07D72FFC" w14:textId="77777777">
      <w:pPr>
        <w:pStyle w:val="ArticleL3"/>
        <w:keepNext w:val="0"/>
      </w:pPr>
      <w:r>
        <w:t xml:space="preserve">Compensation to Seller may also be subject to a reduction to the Variable O&amp;M Payment in accordance with </w:t>
      </w:r>
      <w:r>
        <w:rPr>
          <w:u w:val="single"/>
        </w:rPr>
        <w:t>Section 8.4</w:t>
      </w:r>
      <w:r>
        <w:t xml:space="preserve">. </w:t>
      </w:r>
    </w:p>
    <w:p w:rsidR="0079779A" w:rsidRDefault="003E5439" w14:paraId="65587856" w14:textId="77777777">
      <w:pPr>
        <w:pStyle w:val="ArticleL2"/>
        <w:keepNext w:val="0"/>
      </w:pPr>
      <w:bookmarkStart w:name="_Toc433953987" w:id="183"/>
      <w:bookmarkStart w:name="_Toc433954145" w:id="184"/>
      <w:r>
        <w:rPr>
          <w:u w:val="single"/>
        </w:rPr>
        <w:t>Payment for Contract Capacity</w:t>
      </w:r>
      <w:r>
        <w:fldChar w:fldCharType="begin"/>
      </w:r>
      <w:r>
        <w:instrText>tc "</w:instrText>
      </w:r>
      <w:bookmarkStart w:name="_Toc485630116" w:id="185"/>
      <w:bookmarkStart w:name="_Toc531859620" w:id="186"/>
      <w:bookmarkStart w:name="_Toc119238922" w:id="187"/>
      <w:r>
        <w:instrText>8.2</w:instrText>
      </w:r>
      <w:r>
        <w:tab/>
        <w:instrText>Payment for Contract Capacity</w:instrText>
      </w:r>
      <w:bookmarkEnd w:id="185"/>
      <w:bookmarkEnd w:id="186"/>
      <w:bookmarkEnd w:id="187"/>
      <w:r>
        <w:instrText>” \f C \l 2</w:instrText>
      </w:r>
      <w:r>
        <w:fldChar w:fldCharType="end"/>
      </w:r>
      <w:r>
        <w:t>.</w:t>
      </w:r>
      <w:bookmarkEnd w:id="183"/>
      <w:bookmarkEnd w:id="184"/>
      <w:r>
        <w:t xml:space="preserve"> </w:t>
      </w:r>
    </w:p>
    <w:p w:rsidR="0079779A" w:rsidRDefault="003E5439" w14:paraId="0E0D7860" w14:textId="77777777">
      <w:pPr>
        <w:pStyle w:val="ArticleL3"/>
      </w:pPr>
      <w:r>
        <w:t xml:space="preserve">Subject to reduction as set forth in </w:t>
      </w:r>
      <w:r w:rsidRPr="00BA6F11">
        <w:rPr>
          <w:u w:val="single"/>
        </w:rPr>
        <w:t>Section 8.4(B)</w:t>
      </w:r>
      <w:r>
        <w:t xml:space="preserve"> and </w:t>
      </w:r>
      <w:r>
        <w:rPr>
          <w:u w:val="single"/>
        </w:rPr>
        <w:t>Section 8.4(C)</w:t>
      </w:r>
      <w:r>
        <w:t>, Company shall pay Seller a monthly payment for capacity (the “</w:t>
      </w:r>
      <w:r>
        <w:rPr>
          <w:u w:val="single"/>
        </w:rPr>
        <w:t>Monthly Capacity Payment</w:t>
      </w:r>
      <w:r>
        <w:t xml:space="preserve">”) based upon the following formula: </w:t>
      </w:r>
    </w:p>
    <w:p w:rsidR="0079779A" w:rsidRDefault="003E5439" w14:paraId="35CFBB64" w14:textId="77777777">
      <w:pPr>
        <w:pStyle w:val="BodyText"/>
        <w:ind w:left="720"/>
        <w:rPr>
          <w:lang w:val="en-US" w:eastAsia="en-US"/>
        </w:rPr>
      </w:pPr>
      <w:r>
        <w:rPr>
          <w:lang w:val="en-US" w:eastAsia="en-US"/>
        </w:rPr>
        <w:t xml:space="preserve">Monthly Capacity Payment = (SC x CP) </w:t>
      </w:r>
      <w:r w:rsidR="00ED07FE">
        <w:rPr>
          <w:lang w:val="en-US" w:eastAsia="en-US"/>
        </w:rPr>
        <w:t xml:space="preserve">– </w:t>
      </w:r>
      <w:proofErr w:type="spellStart"/>
      <w:r w:rsidR="00ED07FE">
        <w:rPr>
          <w:lang w:val="en-US" w:eastAsia="en-US"/>
        </w:rPr>
        <w:t>RTE</w:t>
      </w:r>
      <w:r w:rsidR="00ED07FE">
        <w:rPr>
          <w:i/>
          <w:vertAlign w:val="subscript"/>
          <w:lang w:val="en-US" w:eastAsia="en-US"/>
        </w:rPr>
        <w:t>Adj</w:t>
      </w:r>
      <w:proofErr w:type="spellEnd"/>
      <w:r w:rsidR="00ED07FE">
        <w:rPr>
          <w:lang w:val="en-US" w:eastAsia="en-US"/>
        </w:rPr>
        <w:t xml:space="preserve"> </w:t>
      </w:r>
      <w:r>
        <w:rPr>
          <w:lang w:val="en-US" w:eastAsia="en-US"/>
        </w:rPr>
        <w:t xml:space="preserve">– AA – DA, where: </w:t>
      </w:r>
    </w:p>
    <w:p w:rsidR="0079779A" w:rsidRDefault="003E5439" w14:paraId="7D54ADDC" w14:textId="77777777">
      <w:pPr>
        <w:pStyle w:val="BodyText"/>
        <w:ind w:left="720"/>
        <w:rPr>
          <w:rFonts w:cs="Arial"/>
        </w:rPr>
      </w:pPr>
      <w:bookmarkStart w:name="_Hlk65623088" w:id="188"/>
      <w:r>
        <w:rPr>
          <w:lang w:val="en-US" w:eastAsia="en-US"/>
        </w:rPr>
        <w:t xml:space="preserve">SC = Storage Capacity, </w:t>
      </w:r>
      <w:r>
        <w:rPr>
          <w:rFonts w:cs="Arial"/>
        </w:rPr>
        <w:t>as determined by the most recently completed Test</w:t>
      </w:r>
    </w:p>
    <w:p w:rsidR="0079779A" w:rsidRDefault="003E5439" w14:paraId="349EDC84" w14:textId="77777777">
      <w:pPr>
        <w:pStyle w:val="BodyText"/>
        <w:ind w:left="720"/>
        <w:rPr>
          <w:lang w:val="en-US"/>
        </w:rPr>
      </w:pPr>
      <w:r>
        <w:rPr>
          <w:rFonts w:cs="Arial"/>
          <w:lang w:val="en-US"/>
        </w:rPr>
        <w:t xml:space="preserve">CP = Capacity Payment Rate, as set forth in </w:t>
      </w:r>
      <w:r>
        <w:rPr>
          <w:u w:val="single"/>
        </w:rPr>
        <w:t>Exhibit J</w:t>
      </w:r>
      <w:r>
        <w:rPr>
          <w:u w:val="single"/>
          <w:lang w:val="en-US"/>
        </w:rPr>
        <w:t xml:space="preserve"> – Battery Payment Rate and Capacity Payment Rate</w:t>
      </w:r>
      <w:r>
        <w:rPr>
          <w:lang w:val="en-US"/>
        </w:rPr>
        <w:t xml:space="preserve"> </w:t>
      </w:r>
    </w:p>
    <w:bookmarkEnd w:id="188"/>
    <w:p w:rsidR="00ED07FE" w:rsidP="00ED07FE" w:rsidRDefault="00ED07FE" w14:paraId="4D7E76B7" w14:textId="77777777">
      <w:pPr>
        <w:pStyle w:val="BodyText"/>
        <w:ind w:left="720"/>
        <w:rPr>
          <w:lang w:val="en-US"/>
        </w:rPr>
      </w:pPr>
      <w:proofErr w:type="spellStart"/>
      <w:r>
        <w:rPr>
          <w:lang w:val="en-US" w:eastAsia="en-US"/>
        </w:rPr>
        <w:t>RTE</w:t>
      </w:r>
      <w:r>
        <w:rPr>
          <w:i/>
          <w:vertAlign w:val="subscript"/>
          <w:lang w:val="en-US" w:eastAsia="en-US"/>
        </w:rPr>
        <w:t>Adj</w:t>
      </w:r>
      <w:proofErr w:type="spellEnd"/>
      <w:r>
        <w:rPr>
          <w:i/>
          <w:vertAlign w:val="subscript"/>
          <w:lang w:val="en-US" w:eastAsia="en-US"/>
        </w:rPr>
        <w:t xml:space="preserve"> </w:t>
      </w:r>
      <w:r>
        <w:rPr>
          <w:lang w:val="en-US"/>
        </w:rPr>
        <w:t xml:space="preserve">= Round Trip Efficiency Adjustment to Monthly Capacity Payment, as set forth in </w:t>
      </w:r>
      <w:r>
        <w:rPr>
          <w:u w:val="single"/>
          <w:lang w:val="en-US"/>
        </w:rPr>
        <w:t>Section 8.4(B)</w:t>
      </w:r>
      <w:r>
        <w:rPr>
          <w:lang w:val="en-US"/>
        </w:rPr>
        <w:t>.</w:t>
      </w:r>
    </w:p>
    <w:p w:rsidR="0079779A" w:rsidRDefault="003E5439" w14:paraId="079D1E41" w14:textId="77777777">
      <w:pPr>
        <w:pStyle w:val="BodyText"/>
        <w:ind w:left="720"/>
        <w:rPr>
          <w:lang w:val="en-US"/>
        </w:rPr>
      </w:pPr>
      <w:r>
        <w:rPr>
          <w:lang w:val="en-US"/>
        </w:rPr>
        <w:t xml:space="preserve">AA = Availability Adjustment to Monthly Capacity Payment, as set forth in </w:t>
      </w:r>
      <w:r>
        <w:rPr>
          <w:u w:val="single"/>
          <w:lang w:val="en-US"/>
        </w:rPr>
        <w:t>Section 8.4(C)</w:t>
      </w:r>
      <w:r>
        <w:rPr>
          <w:lang w:val="en-US"/>
        </w:rPr>
        <w:t>.</w:t>
      </w:r>
    </w:p>
    <w:p w:rsidR="0079779A" w:rsidRDefault="003E5439" w14:paraId="319E59F0" w14:textId="77777777">
      <w:pPr>
        <w:pStyle w:val="BodyText"/>
        <w:ind w:left="720"/>
        <w:rPr>
          <w:lang w:val="en-US"/>
        </w:rPr>
      </w:pPr>
      <w:r>
        <w:rPr>
          <w:lang w:val="en-US"/>
        </w:rPr>
        <w:t xml:space="preserve">DA = Dispatchability Adjustment to Monthly Capacity Payment, as set forth in </w:t>
      </w:r>
      <w:r>
        <w:rPr>
          <w:u w:val="single"/>
          <w:lang w:val="en-US"/>
        </w:rPr>
        <w:t>Section 8.4(D)</w:t>
      </w:r>
      <w:r>
        <w:rPr>
          <w:lang w:val="en-US"/>
        </w:rPr>
        <w:t>.</w:t>
      </w:r>
    </w:p>
    <w:p w:rsidR="0079779A" w:rsidRDefault="003E5439" w14:paraId="22ED1A1D" w14:textId="77777777">
      <w:pPr>
        <w:pStyle w:val="ArticleL3"/>
      </w:pPr>
      <w:r>
        <w:t xml:space="preserve">The Capacity Payment Rate shall be deemed Confidential Information for purposes of </w:t>
      </w:r>
      <w:r>
        <w:rPr>
          <w:u w:val="single"/>
        </w:rPr>
        <w:t>Section 20.18</w:t>
      </w:r>
      <w:r>
        <w:t xml:space="preserve"> below. </w:t>
      </w:r>
    </w:p>
    <w:p w:rsidR="0079779A" w:rsidRDefault="00ED07FE" w14:paraId="7D0FA0C6" w14:textId="77777777">
      <w:pPr>
        <w:pStyle w:val="ArticleL3"/>
      </w:pPr>
      <w:r>
        <w:t>For clarity, c</w:t>
      </w:r>
      <w:r w:rsidR="003E5439">
        <w:t xml:space="preserve">ompensation to Seller may also be subject to a reduction to the Monthly Capacity Payment in accordance with </w:t>
      </w:r>
      <w:r>
        <w:rPr>
          <w:u w:val="single"/>
        </w:rPr>
        <w:t>Section 8.4(B)</w:t>
      </w:r>
      <w:r>
        <w:t xml:space="preserve">, </w:t>
      </w:r>
      <w:r w:rsidR="003E5439">
        <w:rPr>
          <w:u w:val="single"/>
        </w:rPr>
        <w:t xml:space="preserve">Section </w:t>
      </w:r>
      <w:proofErr w:type="gramStart"/>
      <w:r w:rsidR="003E5439">
        <w:rPr>
          <w:u w:val="single"/>
        </w:rPr>
        <w:t>8.4(C)</w:t>
      </w:r>
      <w:proofErr w:type="gramEnd"/>
      <w:r w:rsidR="003E5439">
        <w:t xml:space="preserve"> and </w:t>
      </w:r>
      <w:r w:rsidR="003E5439">
        <w:rPr>
          <w:u w:val="single"/>
        </w:rPr>
        <w:t>Section 8.4(D)</w:t>
      </w:r>
      <w:r w:rsidR="003E5439">
        <w:t xml:space="preserve">. </w:t>
      </w:r>
    </w:p>
    <w:p w:rsidR="0079779A" w:rsidRDefault="003E5439" w14:paraId="5B97CEC1" w14:textId="77777777">
      <w:pPr>
        <w:pStyle w:val="ArticleL2"/>
      </w:pPr>
      <w:r>
        <w:rPr>
          <w:u w:val="single"/>
        </w:rPr>
        <w:t>Reserved</w:t>
      </w:r>
      <w:r>
        <w:fldChar w:fldCharType="begin"/>
      </w:r>
      <w:r>
        <w:instrText>tc "</w:instrText>
      </w:r>
      <w:bookmarkStart w:name="_Toc531859621" w:id="189"/>
      <w:bookmarkStart w:name="_Toc119238923" w:id="190"/>
      <w:r>
        <w:instrText>8.3</w:instrText>
      </w:r>
      <w:r>
        <w:tab/>
      </w:r>
      <w:bookmarkEnd w:id="189"/>
      <w:r>
        <w:instrText>Reserved</w:instrText>
      </w:r>
      <w:bookmarkEnd w:id="190"/>
      <w:r>
        <w:instrText>” \f C \l 2</w:instrText>
      </w:r>
      <w:r>
        <w:fldChar w:fldCharType="end"/>
      </w:r>
      <w:r>
        <w:t>.</w:t>
      </w:r>
      <w:bookmarkEnd w:id="180"/>
      <w:bookmarkEnd w:id="181"/>
      <w:bookmarkEnd w:id="182"/>
      <w:r>
        <w:t xml:space="preserve"> </w:t>
      </w:r>
    </w:p>
    <w:p w:rsidR="0079779A" w:rsidRDefault="003E5439" w14:paraId="69E3A1A5" w14:textId="77777777">
      <w:pPr>
        <w:pStyle w:val="ArticleL2"/>
        <w:keepNext w:val="0"/>
      </w:pPr>
      <w:r>
        <w:rPr>
          <w:u w:val="single"/>
        </w:rPr>
        <w:t>Monthly Payment Reduction</w:t>
      </w:r>
      <w:r>
        <w:fldChar w:fldCharType="begin"/>
      </w:r>
      <w:r>
        <w:instrText>tc "</w:instrText>
      </w:r>
      <w:bookmarkStart w:name="_Toc531859622" w:id="191"/>
      <w:bookmarkStart w:name="_Toc119238924" w:id="192"/>
      <w:r>
        <w:instrText>8.4</w:instrText>
      </w:r>
      <w:r>
        <w:tab/>
        <w:instrText>Monthly Payment Reduction</w:instrText>
      </w:r>
      <w:bookmarkEnd w:id="191"/>
      <w:bookmarkEnd w:id="192"/>
      <w:r>
        <w:instrText>” \f C \l 2</w:instrText>
      </w:r>
      <w:r>
        <w:fldChar w:fldCharType="end"/>
      </w:r>
      <w:r>
        <w:t>.</w:t>
      </w:r>
    </w:p>
    <w:p w:rsidR="0079779A" w:rsidRDefault="003E5439" w14:paraId="5CBD277B" w14:textId="77777777">
      <w:pPr>
        <w:pStyle w:val="ArticleL3"/>
      </w:pPr>
      <w:bookmarkStart w:name="_Hlk65620513" w:id="193"/>
      <w:r>
        <w:t xml:space="preserve">For each month of the Delivery Period, the Monthly Capacity Payment may be reduced by </w:t>
      </w:r>
      <w:r w:rsidR="00E60173">
        <w:t xml:space="preserve">(i) </w:t>
      </w:r>
      <w:r>
        <w:t xml:space="preserve">the Round Trip Efficiency Adjustment based on </w:t>
      </w:r>
      <w:r>
        <w:rPr>
          <w:u w:val="single"/>
        </w:rPr>
        <w:t>Section 8.4(B)</w:t>
      </w:r>
      <w:r w:rsidR="00E60173">
        <w:t xml:space="preserve">, the </w:t>
      </w:r>
      <w:r>
        <w:lastRenderedPageBreak/>
        <w:t xml:space="preserve">Guaranteed Storage Availability Payment Adjustment based on </w:t>
      </w:r>
      <w:r>
        <w:rPr>
          <w:u w:val="single"/>
        </w:rPr>
        <w:t>Section 8.4(C)</w:t>
      </w:r>
      <w:r>
        <w:t xml:space="preserve"> and </w:t>
      </w:r>
      <w:r w:rsidR="00E60173">
        <w:t xml:space="preserve">the Dispatchability Adjustment based on </w:t>
      </w:r>
      <w:r>
        <w:rPr>
          <w:u w:val="single"/>
        </w:rPr>
        <w:t>Section 8.4(D)</w:t>
      </w:r>
      <w:r>
        <w:t xml:space="preserve">.  </w:t>
      </w:r>
    </w:p>
    <w:bookmarkEnd w:id="193"/>
    <w:p w:rsidR="0079779A" w:rsidRDefault="00B926C1" w14:paraId="5FA09324" w14:textId="77777777">
      <w:pPr>
        <w:pStyle w:val="ArticleL3"/>
      </w:pPr>
      <w:r>
        <w:t>If the Round Trip Efficiency as determined by the most recently completed Test is less than the then-applicable Guaranteed Round Trip Efficiency, then t</w:t>
      </w:r>
      <w:r w:rsidR="003E5439">
        <w:t xml:space="preserve">he Monthly Capacity Payment shall be reduced by the </w:t>
      </w:r>
      <w:bookmarkStart w:name="_Hlk67063969" w:id="194"/>
      <w:r w:rsidR="003E5439">
        <w:t>Round Trip Efficiency Adjustment</w:t>
      </w:r>
      <w:bookmarkEnd w:id="194"/>
      <w:r w:rsidR="003E5439">
        <w:t xml:space="preserve">, </w:t>
      </w:r>
      <w:r w:rsidR="00E374E2">
        <w:t xml:space="preserve">which shall be calculated </w:t>
      </w:r>
      <w:r w:rsidR="003E5439">
        <w:t xml:space="preserve">as follows: </w:t>
      </w:r>
    </w:p>
    <w:p w:rsidR="0079779A" w:rsidRDefault="003E5439" w14:paraId="2E39B6C7" w14:textId="77777777">
      <w:pPr>
        <w:pStyle w:val="ArticleL4"/>
        <w:tabs>
          <w:tab w:val="num" w:pos="2970"/>
        </w:tabs>
        <w:ind w:left="2880" w:hanging="720"/>
      </w:pPr>
      <w:bookmarkStart w:name="_Hlk65622835" w:id="195"/>
      <w:r>
        <w:t>The “</w:t>
      </w:r>
      <w:r>
        <w:rPr>
          <w:u w:val="single"/>
        </w:rPr>
        <w:t>Round Trip Efficiency Adjustment</w:t>
      </w:r>
      <w:r>
        <w:t>” or “</w:t>
      </w:r>
      <w:proofErr w:type="spellStart"/>
      <w:r>
        <w:rPr>
          <w:u w:val="single"/>
        </w:rPr>
        <w:t>RTE</w:t>
      </w:r>
      <w:r>
        <w:rPr>
          <w:u w:val="single"/>
          <w:vertAlign w:val="subscript"/>
        </w:rPr>
        <w:t>Adj</w:t>
      </w:r>
      <w:proofErr w:type="spellEnd"/>
      <w:r>
        <w:t xml:space="preserve">” for each month is given by: </w:t>
      </w:r>
    </w:p>
    <w:bookmarkEnd w:id="195"/>
    <w:p w:rsidR="00E8006C" w:rsidP="00BA6F11" w:rsidRDefault="003E5439" w14:paraId="7725BCF1" w14:textId="77777777">
      <w:pPr>
        <w:pStyle w:val="BodyText"/>
        <w:ind w:left="2160"/>
        <w:rPr>
          <w:i/>
          <w:vertAlign w:val="subscript"/>
          <w:lang w:val="en-US" w:eastAsia="en-US"/>
        </w:rPr>
      </w:pPr>
      <w:r>
        <w:rPr>
          <w:lang w:val="en-US" w:eastAsia="en-US"/>
        </w:rPr>
        <w:t>If [</w:t>
      </w:r>
      <w:proofErr w:type="spellStart"/>
      <w:r>
        <w:rPr>
          <w:lang w:val="en-US" w:eastAsia="en-US"/>
        </w:rPr>
        <w:t>RTE</w:t>
      </w:r>
      <w:r w:rsidR="00E8006C">
        <w:rPr>
          <w:i/>
          <w:vertAlign w:val="subscript"/>
          <w:lang w:val="en-US" w:eastAsia="en-US"/>
        </w:rPr>
        <w:t>test</w:t>
      </w:r>
      <w:proofErr w:type="spellEnd"/>
      <w:r>
        <w:rPr>
          <w:i/>
          <w:lang w:val="en-US" w:eastAsia="en-US"/>
        </w:rPr>
        <w:t xml:space="preserve"> &lt; </w:t>
      </w:r>
      <w:r>
        <w:rPr>
          <w:lang w:val="en-US" w:eastAsia="en-US"/>
        </w:rPr>
        <w:t>RTE</w:t>
      </w:r>
      <w:r>
        <w:rPr>
          <w:i/>
          <w:vertAlign w:val="subscript"/>
          <w:lang w:val="en-US" w:eastAsia="en-US"/>
        </w:rPr>
        <w:t>G</w:t>
      </w:r>
      <w:r>
        <w:rPr>
          <w:lang w:val="en-US" w:eastAsia="en-US"/>
        </w:rPr>
        <w:t xml:space="preserve">,] then </w:t>
      </w:r>
      <w:proofErr w:type="spellStart"/>
      <w:r>
        <w:rPr>
          <w:i/>
          <w:lang w:val="en-US" w:eastAsia="en-US"/>
        </w:rPr>
        <w:t>RTE</w:t>
      </w:r>
      <w:r>
        <w:rPr>
          <w:i/>
          <w:vertAlign w:val="subscript"/>
          <w:lang w:val="en-US" w:eastAsia="en-US"/>
        </w:rPr>
        <w:t>Adj</w:t>
      </w:r>
      <w:proofErr w:type="spellEnd"/>
      <w:r>
        <w:rPr>
          <w:i/>
          <w:lang w:val="en-US" w:eastAsia="en-US"/>
        </w:rPr>
        <w:t xml:space="preserve"> = </w:t>
      </w:r>
    </w:p>
    <w:p w:rsidR="00E8006C" w:rsidP="00BA6F11" w:rsidRDefault="00E8006C" w14:paraId="7DCE62C8" w14:textId="77777777">
      <w:pPr>
        <w:pStyle w:val="BodyText"/>
        <w:ind w:left="2160"/>
        <w:rPr>
          <w:lang w:val="en-US" w:eastAsia="en-US"/>
        </w:rPr>
      </w:pPr>
      <w:r w:rsidRPr="00E8006C">
        <w:rPr>
          <w:lang w:val="en-US" w:eastAsia="en-US"/>
        </w:rPr>
        <w:t>[1 – (</w:t>
      </w:r>
      <w:proofErr w:type="spellStart"/>
      <w:r w:rsidRPr="00E8006C">
        <w:rPr>
          <w:lang w:val="en-US" w:eastAsia="en-US"/>
        </w:rPr>
        <w:t>RTE</w:t>
      </w:r>
      <w:r w:rsidR="007E20BC">
        <w:rPr>
          <w:i/>
          <w:vertAlign w:val="subscript"/>
          <w:lang w:val="en-US" w:eastAsia="en-US"/>
        </w:rPr>
        <w:t>test</w:t>
      </w:r>
      <w:proofErr w:type="spellEnd"/>
      <w:r w:rsidRPr="00E8006C">
        <w:rPr>
          <w:lang w:val="en-US" w:eastAsia="en-US"/>
        </w:rPr>
        <w:t xml:space="preserve"> / RTE</w:t>
      </w:r>
      <w:r>
        <w:rPr>
          <w:i/>
          <w:vertAlign w:val="subscript"/>
          <w:lang w:val="en-US" w:eastAsia="en-US"/>
        </w:rPr>
        <w:t>G</w:t>
      </w:r>
      <w:proofErr w:type="gramStart"/>
      <w:r w:rsidRPr="00E8006C">
        <w:rPr>
          <w:lang w:val="en-US" w:eastAsia="en-US"/>
        </w:rPr>
        <w:t>) ]</w:t>
      </w:r>
      <w:proofErr w:type="gramEnd"/>
      <w:r w:rsidRPr="00E8006C">
        <w:rPr>
          <w:lang w:val="en-US" w:eastAsia="en-US"/>
        </w:rPr>
        <w:t xml:space="preserve"> x [(Discharging </w:t>
      </w:r>
      <w:proofErr w:type="spellStart"/>
      <w:r>
        <w:rPr>
          <w:rFonts w:cs="Arial"/>
          <w:i/>
        </w:rPr>
        <w:t>MWh</w:t>
      </w:r>
      <w:r>
        <w:rPr>
          <w:rFonts w:cs="Arial"/>
          <w:i/>
          <w:vertAlign w:val="subscript"/>
        </w:rPr>
        <w:t>Actual</w:t>
      </w:r>
      <w:proofErr w:type="spellEnd"/>
      <w:r>
        <w:rPr>
          <w:rFonts w:cs="Arial"/>
          <w:i/>
          <w:vertAlign w:val="subscript"/>
        </w:rPr>
        <w:t xml:space="preserve"> </w:t>
      </w:r>
      <w:r>
        <w:rPr>
          <w:rFonts w:cs="Arial"/>
          <w:i/>
          <w:vertAlign w:val="subscript"/>
          <w:lang w:val="en-US"/>
        </w:rPr>
        <w:t xml:space="preserve"> </w:t>
      </w:r>
      <w:r w:rsidRPr="00E8006C">
        <w:rPr>
          <w:lang w:val="en-US" w:eastAsia="en-US"/>
        </w:rPr>
        <w:t xml:space="preserve">* </w:t>
      </w:r>
      <w:r>
        <w:rPr>
          <w:lang w:val="en-US" w:eastAsia="en-US"/>
        </w:rPr>
        <w:t>D</w:t>
      </w:r>
      <w:r w:rsidRPr="00E8006C">
        <w:rPr>
          <w:lang w:val="en-US" w:eastAsia="en-US"/>
        </w:rPr>
        <w:t xml:space="preserve">ischarging </w:t>
      </w:r>
      <w:r>
        <w:rPr>
          <w:lang w:val="en-US" w:eastAsia="en-US"/>
        </w:rPr>
        <w:t>LMP</w:t>
      </w:r>
      <w:r w:rsidRPr="00E8006C">
        <w:rPr>
          <w:lang w:val="en-US" w:eastAsia="en-US"/>
        </w:rPr>
        <w:t>) - (</w:t>
      </w:r>
      <w:r>
        <w:rPr>
          <w:lang w:val="en-US" w:eastAsia="en-US"/>
        </w:rPr>
        <w:t>C</w:t>
      </w:r>
      <w:r w:rsidRPr="00E8006C">
        <w:rPr>
          <w:lang w:val="en-US" w:eastAsia="en-US"/>
        </w:rPr>
        <w:t xml:space="preserve">harging </w:t>
      </w:r>
      <w:proofErr w:type="spellStart"/>
      <w:r>
        <w:rPr>
          <w:rFonts w:cs="Arial"/>
          <w:i/>
        </w:rPr>
        <w:t>MWh</w:t>
      </w:r>
      <w:r>
        <w:rPr>
          <w:rFonts w:cs="Arial"/>
          <w:i/>
          <w:vertAlign w:val="subscript"/>
        </w:rPr>
        <w:t>Actual</w:t>
      </w:r>
      <w:proofErr w:type="spellEnd"/>
      <w:r>
        <w:rPr>
          <w:rFonts w:cs="Arial"/>
          <w:i/>
          <w:vertAlign w:val="subscript"/>
        </w:rPr>
        <w:t xml:space="preserve"> </w:t>
      </w:r>
      <w:r>
        <w:rPr>
          <w:rFonts w:cs="Arial"/>
          <w:i/>
          <w:vertAlign w:val="subscript"/>
          <w:lang w:val="en-US"/>
        </w:rPr>
        <w:t xml:space="preserve"> </w:t>
      </w:r>
      <w:r w:rsidRPr="00E8006C">
        <w:rPr>
          <w:lang w:val="en-US" w:eastAsia="en-US"/>
        </w:rPr>
        <w:t xml:space="preserve">* </w:t>
      </w:r>
      <w:r>
        <w:rPr>
          <w:lang w:val="en-US" w:eastAsia="en-US"/>
        </w:rPr>
        <w:t>C</w:t>
      </w:r>
      <w:r w:rsidRPr="00E8006C">
        <w:rPr>
          <w:lang w:val="en-US" w:eastAsia="en-US"/>
        </w:rPr>
        <w:t xml:space="preserve">harging </w:t>
      </w:r>
      <w:r>
        <w:rPr>
          <w:lang w:val="en-US" w:eastAsia="en-US"/>
        </w:rPr>
        <w:t>LMP</w:t>
      </w:r>
      <w:r w:rsidRPr="00E8006C">
        <w:rPr>
          <w:lang w:val="en-US" w:eastAsia="en-US"/>
        </w:rPr>
        <w:t>)]</w:t>
      </w:r>
    </w:p>
    <w:p w:rsidR="0079779A" w:rsidRDefault="003E5439" w14:paraId="71B08EF6" w14:textId="77777777">
      <w:pPr>
        <w:pStyle w:val="Heading2Text"/>
        <w:ind w:left="2520"/>
        <w:rPr>
          <w:rFonts w:ascii="Arial" w:hAnsi="Arial" w:cs="Arial"/>
          <w:szCs w:val="24"/>
        </w:rPr>
      </w:pPr>
      <w:r>
        <w:tab/>
      </w:r>
      <w:r>
        <w:rPr>
          <w:rFonts w:ascii="Arial" w:hAnsi="Arial" w:cs="Arial"/>
          <w:szCs w:val="24"/>
        </w:rPr>
        <w:t>where:</w:t>
      </w:r>
    </w:p>
    <w:p w:rsidR="0079779A" w:rsidRDefault="003E5439" w14:paraId="1D695A65" w14:textId="77777777">
      <w:pPr>
        <w:ind w:left="2880"/>
        <w:rPr>
          <w:rFonts w:cs="Arial"/>
        </w:rPr>
      </w:pPr>
      <w:proofErr w:type="spellStart"/>
      <w:r>
        <w:rPr>
          <w:rFonts w:cs="Arial"/>
          <w:i/>
        </w:rPr>
        <w:t>RTE</w:t>
      </w:r>
      <w:r w:rsidR="007E20BC">
        <w:rPr>
          <w:i/>
          <w:vertAlign w:val="subscript"/>
        </w:rPr>
        <w:t>test</w:t>
      </w:r>
      <w:proofErr w:type="spellEnd"/>
      <w:r>
        <w:rPr>
          <w:rFonts w:cs="Arial"/>
          <w:i/>
        </w:rPr>
        <w:t xml:space="preserve"> </w:t>
      </w:r>
      <w:r>
        <w:rPr>
          <w:rFonts w:cs="Arial"/>
        </w:rPr>
        <w:t xml:space="preserve">= the Round Trip Efficiency as determined by the most recently completed Test. </w:t>
      </w:r>
    </w:p>
    <w:p w:rsidR="0079779A" w:rsidRDefault="0079779A" w14:paraId="6DBDA53D" w14:textId="77777777">
      <w:pPr>
        <w:ind w:left="2880"/>
        <w:rPr>
          <w:rFonts w:cs="Arial"/>
        </w:rPr>
      </w:pPr>
    </w:p>
    <w:p w:rsidR="0079779A" w:rsidRDefault="003E5439" w14:paraId="1F78F91E" w14:textId="77777777">
      <w:pPr>
        <w:ind w:left="2880"/>
        <w:rPr>
          <w:rFonts w:cs="Arial"/>
        </w:rPr>
      </w:pPr>
      <w:r>
        <w:rPr>
          <w:rFonts w:cs="Arial"/>
          <w:i/>
        </w:rPr>
        <w:t>RTE</w:t>
      </w:r>
      <w:r>
        <w:rPr>
          <w:rFonts w:cs="Arial"/>
          <w:i/>
          <w:vertAlign w:val="subscript"/>
        </w:rPr>
        <w:t>G</w:t>
      </w:r>
      <w:r>
        <w:rPr>
          <w:rFonts w:cs="Arial"/>
          <w:i/>
        </w:rPr>
        <w:t xml:space="preserve"> =</w:t>
      </w:r>
      <w:r>
        <w:rPr>
          <w:rFonts w:cs="Arial"/>
        </w:rPr>
        <w:t xml:space="preserve"> the then-applicable Guaranteed Round Trip Efficiency, as identified in </w:t>
      </w:r>
      <w:r>
        <w:rPr>
          <w:rFonts w:cs="Arial"/>
          <w:u w:val="single"/>
        </w:rPr>
        <w:t>Exhibit M-1 – Battery Storage System Guaranteed Performance Levels</w:t>
      </w:r>
    </w:p>
    <w:p w:rsidR="0079779A" w:rsidRDefault="0079779A" w14:paraId="7EF9B35C" w14:textId="77777777">
      <w:pPr>
        <w:ind w:left="2880"/>
        <w:rPr>
          <w:rFonts w:cs="Arial"/>
        </w:rPr>
      </w:pPr>
    </w:p>
    <w:p w:rsidR="00E8006C" w:rsidP="00E8006C" w:rsidRDefault="00E8006C" w14:paraId="4C62CADB" w14:textId="77777777">
      <w:pPr>
        <w:ind w:left="2880"/>
        <w:rPr>
          <w:rFonts w:cs="Arial"/>
          <w:i/>
        </w:rPr>
      </w:pPr>
      <w:r>
        <w:rPr>
          <w:rFonts w:cs="Arial"/>
          <w:i/>
        </w:rPr>
        <w:t xml:space="preserve">Discharging </w:t>
      </w:r>
      <w:proofErr w:type="spellStart"/>
      <w:r>
        <w:rPr>
          <w:rFonts w:cs="Arial"/>
          <w:i/>
        </w:rPr>
        <w:t>MWh</w:t>
      </w:r>
      <w:r>
        <w:rPr>
          <w:rFonts w:cs="Arial"/>
          <w:i/>
          <w:vertAlign w:val="subscript"/>
        </w:rPr>
        <w:t>Actual</w:t>
      </w:r>
      <w:proofErr w:type="spellEnd"/>
      <w:r>
        <w:rPr>
          <w:rFonts w:cs="Arial"/>
          <w:i/>
          <w:vertAlign w:val="subscript"/>
        </w:rPr>
        <w:t xml:space="preserve"> </w:t>
      </w:r>
      <w:r>
        <w:rPr>
          <w:rFonts w:cs="Arial"/>
          <w:i/>
        </w:rPr>
        <w:t>=</w:t>
      </w:r>
      <w:r>
        <w:rPr>
          <w:rFonts w:cs="Arial"/>
        </w:rPr>
        <w:t xml:space="preserve"> the </w:t>
      </w:r>
      <w:r w:rsidR="007E20BC">
        <w:rPr>
          <w:rFonts w:cs="Arial"/>
        </w:rPr>
        <w:t>Disc</w:t>
      </w:r>
      <w:r>
        <w:rPr>
          <w:rFonts w:cs="Arial"/>
        </w:rPr>
        <w:t>harging Energy delivered to Company at the Point of Delivery for the affected month</w:t>
      </w:r>
      <w:r w:rsidR="00B926C1">
        <w:rPr>
          <w:rFonts w:cs="Arial"/>
        </w:rPr>
        <w:t xml:space="preserve"> expressed in MWh.  </w:t>
      </w:r>
    </w:p>
    <w:p w:rsidR="00E8006C" w:rsidP="00E8006C" w:rsidRDefault="00E8006C" w14:paraId="050D05E9" w14:textId="77777777">
      <w:pPr>
        <w:ind w:left="2880"/>
        <w:rPr>
          <w:rFonts w:cs="Arial"/>
          <w:i/>
        </w:rPr>
      </w:pPr>
    </w:p>
    <w:p w:rsidR="00E8006C" w:rsidP="00E8006C" w:rsidRDefault="00E8006C" w14:paraId="5FA860A8" w14:textId="77777777">
      <w:pPr>
        <w:ind w:left="2880"/>
        <w:rPr>
          <w:rFonts w:cs="Arial"/>
        </w:rPr>
      </w:pPr>
      <w:r>
        <w:rPr>
          <w:rFonts w:cs="Arial"/>
          <w:i/>
        </w:rPr>
        <w:t xml:space="preserve">Discharging LMP </w:t>
      </w:r>
      <w:r>
        <w:rPr>
          <w:rFonts w:cs="Arial"/>
        </w:rPr>
        <w:t xml:space="preserve">= the </w:t>
      </w:r>
      <w:r w:rsidR="00E313AB">
        <w:rPr>
          <w:rFonts w:cs="Arial"/>
        </w:rPr>
        <w:t>average of the Disch</w:t>
      </w:r>
      <w:r>
        <w:rPr>
          <w:rFonts w:cs="Arial"/>
        </w:rPr>
        <w:t xml:space="preserve">arging Energy Price </w:t>
      </w:r>
      <w:r w:rsidR="00E313AB">
        <w:rPr>
          <w:rFonts w:cs="Arial"/>
        </w:rPr>
        <w:t xml:space="preserve">for each </w:t>
      </w:r>
      <w:r w:rsidR="00E313AB">
        <w:rPr>
          <w:rFonts w:cs="Arial"/>
          <w:i/>
        </w:rPr>
        <w:t xml:space="preserve">Discharging </w:t>
      </w:r>
      <w:proofErr w:type="spellStart"/>
      <w:r w:rsidR="00E313AB">
        <w:rPr>
          <w:rFonts w:cs="Arial"/>
          <w:i/>
        </w:rPr>
        <w:t>MWh</w:t>
      </w:r>
      <w:r w:rsidR="00E313AB">
        <w:rPr>
          <w:rFonts w:cs="Arial"/>
          <w:i/>
          <w:vertAlign w:val="subscript"/>
        </w:rPr>
        <w:t>Actual</w:t>
      </w:r>
      <w:proofErr w:type="spellEnd"/>
      <w:r w:rsidRPr="00BA6F11" w:rsidR="00E313AB">
        <w:rPr>
          <w:rFonts w:cs="Arial"/>
          <w:i/>
        </w:rPr>
        <w:t xml:space="preserve"> </w:t>
      </w:r>
      <w:r w:rsidR="00673AC2">
        <w:rPr>
          <w:rFonts w:cs="Arial"/>
        </w:rPr>
        <w:t xml:space="preserve">for the affected month </w:t>
      </w:r>
      <w:r>
        <w:rPr>
          <w:rFonts w:cs="Arial"/>
        </w:rPr>
        <w:t xml:space="preserve">expressed in Dollars per MWh; </w:t>
      </w:r>
      <w:r w:rsidRPr="00F272AD">
        <w:rPr>
          <w:rFonts w:cs="Arial"/>
          <w:i/>
          <w:iCs/>
        </w:rPr>
        <w:t>provided</w:t>
      </w:r>
      <w:r>
        <w:rPr>
          <w:rFonts w:cs="Arial"/>
        </w:rPr>
        <w:t xml:space="preserve">, that the </w:t>
      </w:r>
      <w:r w:rsidR="00B926C1">
        <w:rPr>
          <w:rFonts w:cs="Arial"/>
        </w:rPr>
        <w:t xml:space="preserve">Discharging </w:t>
      </w:r>
      <w:r>
        <w:rPr>
          <w:rFonts w:cs="Arial"/>
        </w:rPr>
        <w:t xml:space="preserve">LMP may not, in any event, be less than $[0] for any given month.  </w:t>
      </w:r>
    </w:p>
    <w:p w:rsidR="00E8006C" w:rsidRDefault="00E8006C" w14:paraId="599102E4" w14:textId="77777777">
      <w:pPr>
        <w:ind w:left="2880"/>
        <w:rPr>
          <w:rFonts w:cs="Arial"/>
          <w:i/>
        </w:rPr>
      </w:pPr>
    </w:p>
    <w:p w:rsidR="0079779A" w:rsidRDefault="00E8006C" w14:paraId="2B28DA51" w14:textId="77777777">
      <w:pPr>
        <w:ind w:left="2880"/>
        <w:rPr>
          <w:rFonts w:cs="Arial"/>
          <w:i/>
        </w:rPr>
      </w:pPr>
      <w:r>
        <w:rPr>
          <w:rFonts w:cs="Arial"/>
          <w:i/>
        </w:rPr>
        <w:t xml:space="preserve">Charging </w:t>
      </w:r>
      <w:proofErr w:type="spellStart"/>
      <w:r w:rsidR="003E5439">
        <w:rPr>
          <w:rFonts w:cs="Arial"/>
          <w:i/>
        </w:rPr>
        <w:t>MWh</w:t>
      </w:r>
      <w:r w:rsidR="003E5439">
        <w:rPr>
          <w:rFonts w:cs="Arial"/>
          <w:i/>
          <w:vertAlign w:val="subscript"/>
        </w:rPr>
        <w:t>Actual</w:t>
      </w:r>
      <w:proofErr w:type="spellEnd"/>
      <w:r w:rsidR="003E5439">
        <w:rPr>
          <w:rFonts w:cs="Arial"/>
          <w:i/>
          <w:vertAlign w:val="subscript"/>
        </w:rPr>
        <w:t xml:space="preserve"> </w:t>
      </w:r>
      <w:r w:rsidR="003E5439">
        <w:rPr>
          <w:rFonts w:cs="Arial"/>
          <w:i/>
        </w:rPr>
        <w:t>=</w:t>
      </w:r>
      <w:r w:rsidR="003E5439">
        <w:rPr>
          <w:rFonts w:cs="Arial"/>
        </w:rPr>
        <w:t xml:space="preserve"> the Charging Energy delivered to </w:t>
      </w:r>
      <w:r w:rsidR="00B926C1">
        <w:rPr>
          <w:rFonts w:cs="Arial"/>
        </w:rPr>
        <w:t xml:space="preserve">Seller </w:t>
      </w:r>
      <w:r w:rsidR="003E5439">
        <w:rPr>
          <w:rFonts w:cs="Arial"/>
        </w:rPr>
        <w:t>at the Point of Delivery for the affected month</w:t>
      </w:r>
      <w:r w:rsidRPr="00B926C1" w:rsidR="00B926C1">
        <w:rPr>
          <w:rFonts w:cs="Arial"/>
        </w:rPr>
        <w:t xml:space="preserve"> </w:t>
      </w:r>
      <w:r w:rsidR="00B926C1">
        <w:rPr>
          <w:rFonts w:cs="Arial"/>
        </w:rPr>
        <w:t>expressed in MWh.</w:t>
      </w:r>
    </w:p>
    <w:p w:rsidR="0079779A" w:rsidRDefault="0079779A" w14:paraId="594C2812" w14:textId="77777777">
      <w:pPr>
        <w:ind w:left="2880"/>
        <w:rPr>
          <w:rFonts w:cs="Arial"/>
          <w:i/>
        </w:rPr>
      </w:pPr>
    </w:p>
    <w:p w:rsidR="0079779A" w:rsidRDefault="00E8006C" w14:paraId="59AA21CA" w14:textId="77777777">
      <w:pPr>
        <w:ind w:left="2880"/>
        <w:rPr>
          <w:rFonts w:cs="Arial"/>
        </w:rPr>
      </w:pPr>
      <w:r>
        <w:rPr>
          <w:rFonts w:cs="Arial"/>
          <w:i/>
        </w:rPr>
        <w:t xml:space="preserve">Charging </w:t>
      </w:r>
      <w:r w:rsidR="003E5439">
        <w:rPr>
          <w:rFonts w:cs="Arial"/>
          <w:i/>
        </w:rPr>
        <w:t xml:space="preserve">LMP </w:t>
      </w:r>
      <w:r w:rsidR="003E5439">
        <w:rPr>
          <w:rFonts w:cs="Arial"/>
        </w:rPr>
        <w:t xml:space="preserve">= the average </w:t>
      </w:r>
      <w:r w:rsidR="00E313AB">
        <w:rPr>
          <w:rFonts w:cs="Arial"/>
        </w:rPr>
        <w:t xml:space="preserve">of the </w:t>
      </w:r>
      <w:r w:rsidR="003E5439">
        <w:rPr>
          <w:rFonts w:cs="Arial"/>
        </w:rPr>
        <w:t xml:space="preserve">Charging </w:t>
      </w:r>
      <w:r w:rsidR="00B43240">
        <w:rPr>
          <w:rFonts w:cs="Arial"/>
        </w:rPr>
        <w:t xml:space="preserve">Energy </w:t>
      </w:r>
      <w:r w:rsidR="003E5439">
        <w:rPr>
          <w:rFonts w:cs="Arial"/>
        </w:rPr>
        <w:t xml:space="preserve">Price </w:t>
      </w:r>
      <w:r w:rsidR="00B926C1">
        <w:rPr>
          <w:rFonts w:cs="Arial"/>
        </w:rPr>
        <w:t xml:space="preserve">for each </w:t>
      </w:r>
      <w:r w:rsidR="00B926C1">
        <w:rPr>
          <w:rFonts w:cs="Arial"/>
          <w:i/>
        </w:rPr>
        <w:t xml:space="preserve">Charging </w:t>
      </w:r>
      <w:proofErr w:type="spellStart"/>
      <w:r w:rsidR="00B926C1">
        <w:rPr>
          <w:rFonts w:cs="Arial"/>
          <w:i/>
        </w:rPr>
        <w:t>MWh</w:t>
      </w:r>
      <w:r w:rsidR="00B926C1">
        <w:rPr>
          <w:rFonts w:cs="Arial"/>
          <w:i/>
          <w:vertAlign w:val="subscript"/>
        </w:rPr>
        <w:t>Actual</w:t>
      </w:r>
      <w:proofErr w:type="spellEnd"/>
      <w:r w:rsidRPr="00F272AD" w:rsidR="00B926C1">
        <w:rPr>
          <w:rFonts w:cs="Arial"/>
          <w:i/>
        </w:rPr>
        <w:t xml:space="preserve"> </w:t>
      </w:r>
      <w:r w:rsidR="00673AC2">
        <w:rPr>
          <w:rFonts w:cs="Arial"/>
        </w:rPr>
        <w:t xml:space="preserve">for the affected month </w:t>
      </w:r>
      <w:r w:rsidR="003E5439">
        <w:rPr>
          <w:rFonts w:cs="Arial"/>
        </w:rPr>
        <w:t>expressed in Dollars per MWh</w:t>
      </w:r>
      <w:r w:rsidR="00B43240">
        <w:rPr>
          <w:rFonts w:cs="Arial"/>
        </w:rPr>
        <w:t xml:space="preserve">.  </w:t>
      </w:r>
    </w:p>
    <w:p w:rsidR="0079779A" w:rsidRDefault="0079779A" w14:paraId="6EDF27C2" w14:textId="77777777">
      <w:pPr>
        <w:tabs>
          <w:tab w:val="left" w:pos="2880"/>
        </w:tabs>
        <w:ind w:left="1440"/>
        <w:rPr>
          <w:rFonts w:cs="Arial"/>
        </w:rPr>
      </w:pPr>
    </w:p>
    <w:p w:rsidRPr="00BA6F11" w:rsidR="001611E7" w:rsidRDefault="001611E7" w14:paraId="02053477" w14:textId="77777777">
      <w:pPr>
        <w:tabs>
          <w:tab w:val="left" w:pos="2880"/>
        </w:tabs>
        <w:ind w:left="1440"/>
        <w:rPr>
          <w:rFonts w:cs="Arial"/>
          <w:bCs/>
          <w:noProof/>
          <w:color w:val="000000"/>
        </w:rPr>
      </w:pPr>
      <w:r w:rsidRPr="00BA6F11">
        <w:rPr>
          <w:rFonts w:cs="Arial"/>
          <w:bCs/>
          <w:i/>
          <w:iCs/>
          <w:noProof/>
          <w:color w:val="000000"/>
        </w:rPr>
        <w:t>Provided</w:t>
      </w:r>
      <w:r>
        <w:rPr>
          <w:rFonts w:cs="Arial"/>
          <w:bCs/>
          <w:noProof/>
          <w:color w:val="000000"/>
        </w:rPr>
        <w:t xml:space="preserve">, that in no event shall the </w:t>
      </w:r>
      <w:r w:rsidR="002A2672">
        <w:t xml:space="preserve">Round Trip Efficiency Adjustment be less than $0.  </w:t>
      </w:r>
    </w:p>
    <w:p w:rsidR="001611E7" w:rsidRDefault="001611E7" w14:paraId="1CBA7DCB" w14:textId="77777777">
      <w:pPr>
        <w:tabs>
          <w:tab w:val="left" w:pos="2880"/>
        </w:tabs>
        <w:ind w:left="1440"/>
        <w:rPr>
          <w:rFonts w:cs="Arial"/>
          <w:bCs/>
          <w:noProof/>
          <w:color w:val="000000"/>
          <w:u w:val="single"/>
        </w:rPr>
      </w:pPr>
    </w:p>
    <w:p w:rsidR="0079779A" w:rsidRDefault="003E5439" w14:paraId="39788FF1" w14:textId="77777777">
      <w:pPr>
        <w:tabs>
          <w:tab w:val="left" w:pos="2880"/>
        </w:tabs>
        <w:ind w:left="1440"/>
        <w:rPr>
          <w:rFonts w:cs="Arial"/>
        </w:rPr>
      </w:pPr>
      <w:r>
        <w:rPr>
          <w:rFonts w:cs="Arial"/>
          <w:bCs/>
          <w:noProof/>
          <w:color w:val="000000"/>
          <w:u w:val="single"/>
        </w:rPr>
        <w:t>Exhibit Q – Example Adjustment Calculations</w:t>
      </w:r>
      <w:r>
        <w:rPr>
          <w:rFonts w:cs="Arial"/>
          <w:bCs/>
          <w:noProof/>
          <w:color w:val="000000"/>
        </w:rPr>
        <w:t xml:space="preserve"> sets forth the sample calculations for the Round Trip Efficiency Adjustment. </w:t>
      </w:r>
    </w:p>
    <w:p w:rsidR="0079779A" w:rsidRDefault="0079779A" w14:paraId="6136EE0F" w14:textId="77777777">
      <w:pPr>
        <w:ind w:left="2880"/>
        <w:rPr>
          <w:rFonts w:cs="Arial"/>
        </w:rPr>
      </w:pPr>
    </w:p>
    <w:p w:rsidR="0079779A" w:rsidRDefault="003E5439" w14:paraId="1357A9AB" w14:textId="77777777">
      <w:pPr>
        <w:pStyle w:val="ArticleL3"/>
        <w:keepNext w:val="0"/>
        <w:tabs>
          <w:tab w:val="clear" w:pos="2020"/>
          <w:tab w:val="num" w:pos="1570"/>
          <w:tab w:val="num" w:pos="4090"/>
        </w:tabs>
      </w:pPr>
      <w:r>
        <w:rPr>
          <w:noProof/>
        </w:rPr>
        <w:t>For each month of the Delivery Period, Seller shall either (i) achieve an Equivalent Availability Factor of not less than 97% (“</w:t>
      </w:r>
      <w:r>
        <w:rPr>
          <w:noProof/>
          <w:u w:val="single"/>
        </w:rPr>
        <w:t>Guaranteed Storage Availability</w:t>
      </w:r>
      <w:r>
        <w:rPr>
          <w:noProof/>
        </w:rPr>
        <w:t xml:space="preserve">”) or (ii) pay, or incur a reduction in the Monthly Capacity Payments for such month equal to, the Guaranteed Storage Availability Payment Adjustment, as calculated below.  Any Guaranteed Storage Availability Payment Adjustment, if applicable, shall be reflected in </w:t>
      </w:r>
      <w:r>
        <w:t xml:space="preserve">the Monthly Capacity Payment for such month; </w:t>
      </w:r>
      <w:r w:rsidRPr="00BA6F11">
        <w:rPr>
          <w:i/>
          <w:iCs/>
        </w:rPr>
        <w:t>provided</w:t>
      </w:r>
      <w:r>
        <w:t xml:space="preserve">, that if the Monthly Capacity Payment is less than the </w:t>
      </w:r>
      <w:r>
        <w:rPr>
          <w:noProof/>
        </w:rPr>
        <w:t>Guaranteed Storage Availability Payment Adjustment for such month</w:t>
      </w:r>
      <w:r>
        <w:t xml:space="preserve">, the difference shall be </w:t>
      </w:r>
      <w:r>
        <w:rPr>
          <w:noProof/>
        </w:rPr>
        <w:t xml:space="preserve">due and payable no later than thirty (30) Business Days after receipt by Seller of Company’s billing statement for such month, pursuant to </w:t>
      </w:r>
      <w:r>
        <w:rPr>
          <w:noProof/>
          <w:u w:val="single"/>
        </w:rPr>
        <w:t>Section 9.1(B)</w:t>
      </w:r>
      <w:r>
        <w:rPr>
          <w:noProof/>
        </w:rPr>
        <w:t>.</w:t>
      </w:r>
      <w:r>
        <w:t xml:space="preserve"> </w:t>
      </w:r>
    </w:p>
    <w:p w:rsidR="0079779A" w:rsidRDefault="003E5439" w14:paraId="2514AE09" w14:textId="77777777">
      <w:pPr>
        <w:widowControl w:val="0"/>
        <w:adjustRightInd w:val="0"/>
        <w:ind w:left="1440"/>
        <w:textAlignment w:val="baseline"/>
        <w:rPr>
          <w:rFonts w:cs="Arial"/>
          <w:bCs/>
          <w:noProof/>
          <w:color w:val="000000"/>
        </w:rPr>
      </w:pPr>
      <w:r>
        <w:rPr>
          <w:rFonts w:cs="Arial"/>
          <w:bCs/>
          <w:noProof/>
          <w:color w:val="000000"/>
        </w:rPr>
        <w:t>“Availability Factor” means, during any given Outage, the factor obtained by dividing the maximum power output that could be provided during such Outage for [</w:t>
      </w:r>
      <w:r>
        <w:rPr>
          <w:rFonts w:cs="Arial"/>
          <w:bCs/>
          <w:noProof/>
          <w:color w:val="000000"/>
          <w:highlight w:val="yellow"/>
        </w:rPr>
        <w:t>__</w:t>
      </w:r>
      <w:r>
        <w:rPr>
          <w:rFonts w:cs="Arial"/>
          <w:bCs/>
          <w:noProof/>
          <w:color w:val="000000"/>
        </w:rPr>
        <w:t xml:space="preserve"> (</w:t>
      </w:r>
      <w:r>
        <w:rPr>
          <w:rFonts w:cs="Arial"/>
          <w:bCs/>
          <w:noProof/>
          <w:color w:val="000000"/>
          <w:highlight w:val="yellow"/>
        </w:rPr>
        <w:t>_</w:t>
      </w:r>
      <w:r>
        <w:rPr>
          <w:rFonts w:cs="Arial"/>
          <w:bCs/>
          <w:noProof/>
          <w:color w:val="000000"/>
        </w:rPr>
        <w:t xml:space="preserve">)] hours (assuming that the Battery Storage System was charged up to its maximum available Storage Capacity during such Outage) as reported by the SCADA System in accordance with </w:t>
      </w:r>
      <w:r>
        <w:rPr>
          <w:rFonts w:cs="Arial"/>
          <w:bCs/>
          <w:noProof/>
          <w:color w:val="000000"/>
          <w:u w:val="single"/>
        </w:rPr>
        <w:t>Exhibit O – Battery Storage System Operating Procedures</w:t>
      </w:r>
      <w:r>
        <w:rPr>
          <w:rFonts w:cs="Arial"/>
          <w:bCs/>
          <w:noProof/>
          <w:color w:val="000000"/>
        </w:rPr>
        <w:t xml:space="preserve">, by the Guaranteed Maximum Discharging Rate.  </w:t>
      </w:r>
    </w:p>
    <w:p w:rsidR="0079779A" w:rsidRDefault="0079779A" w14:paraId="2565497E" w14:textId="77777777">
      <w:pPr>
        <w:widowControl w:val="0"/>
        <w:adjustRightInd w:val="0"/>
        <w:ind w:left="1440"/>
        <w:textAlignment w:val="baseline"/>
        <w:rPr>
          <w:rFonts w:cs="Arial"/>
          <w:bCs/>
          <w:noProof/>
          <w:color w:val="000000"/>
        </w:rPr>
      </w:pPr>
    </w:p>
    <w:p w:rsidR="0079779A" w:rsidRDefault="003E5439" w14:paraId="39C11F6C" w14:textId="77777777">
      <w:pPr>
        <w:widowControl w:val="0"/>
        <w:adjustRightInd w:val="0"/>
        <w:ind w:left="1440"/>
        <w:textAlignment w:val="baseline"/>
        <w:rPr>
          <w:rFonts w:cs="Arial"/>
          <w:bCs/>
          <w:noProof/>
          <w:color w:val="000000"/>
        </w:rPr>
      </w:pPr>
      <w:r>
        <w:rPr>
          <w:rFonts w:cs="Arial"/>
          <w:bCs/>
          <w:noProof/>
          <w:color w:val="000000"/>
        </w:rPr>
        <w:t xml:space="preserve">“Equivalent Availability Factor” of the Battery Storage System shall be calculated as follows: (Hours – Total Equivalent Forced Outage Hours – Total Equivalent Planned Outage Hours) / (Hours – Total Equivalent Planned Outage Hours). </w:t>
      </w:r>
    </w:p>
    <w:p w:rsidR="0079779A" w:rsidRDefault="0079779A" w14:paraId="40DF3200" w14:textId="77777777">
      <w:pPr>
        <w:widowControl w:val="0"/>
        <w:adjustRightInd w:val="0"/>
        <w:ind w:left="1440"/>
        <w:textAlignment w:val="baseline"/>
        <w:rPr>
          <w:rFonts w:cs="Arial"/>
          <w:bCs/>
          <w:noProof/>
          <w:color w:val="000000"/>
        </w:rPr>
      </w:pPr>
    </w:p>
    <w:p w:rsidR="0079779A" w:rsidRDefault="003E5439" w14:paraId="4D8DF394" w14:textId="77777777">
      <w:pPr>
        <w:widowControl w:val="0"/>
        <w:adjustRightInd w:val="0"/>
        <w:ind w:left="1440"/>
        <w:textAlignment w:val="baseline"/>
        <w:rPr>
          <w:rFonts w:cs="Arial"/>
          <w:bCs/>
          <w:noProof/>
          <w:color w:val="000000"/>
        </w:rPr>
      </w:pPr>
      <w:r>
        <w:rPr>
          <w:rFonts w:cs="Arial"/>
          <w:bCs/>
          <w:noProof/>
          <w:color w:val="000000"/>
        </w:rPr>
        <w:t>“Equivalent Outage Hours” (Planned or Forced) means, for any Outage, the product of (x) the number of hours during such Outage multiplied by (y) one minus the Availability Factor during such Outage.</w:t>
      </w:r>
    </w:p>
    <w:p w:rsidR="0079779A" w:rsidRDefault="0079779A" w14:paraId="59C65CD7" w14:textId="77777777">
      <w:pPr>
        <w:widowControl w:val="0"/>
        <w:adjustRightInd w:val="0"/>
        <w:ind w:left="1440"/>
        <w:textAlignment w:val="baseline"/>
        <w:rPr>
          <w:color w:val="000000"/>
        </w:rPr>
      </w:pPr>
    </w:p>
    <w:p w:rsidR="001E1272" w:rsidRDefault="003E5439" w14:paraId="29E48969" w14:textId="77777777">
      <w:pPr>
        <w:widowControl w:val="0"/>
        <w:adjustRightInd w:val="0"/>
        <w:ind w:left="1440"/>
        <w:textAlignment w:val="baseline"/>
        <w:rPr>
          <w:rFonts w:cs="Arial"/>
          <w:bCs/>
          <w:noProof/>
          <w:color w:val="000000"/>
        </w:rPr>
      </w:pPr>
      <w:r>
        <w:rPr>
          <w:color w:val="000000"/>
        </w:rPr>
        <w:t xml:space="preserve">“Guaranteed Storage </w:t>
      </w:r>
      <w:r>
        <w:rPr>
          <w:rFonts w:cs="Arial"/>
          <w:bCs/>
          <w:noProof/>
          <w:color w:val="000000"/>
        </w:rPr>
        <w:t>Availability Payment Adjustment” means, for each month during the Delivery Period, an amount equal to the</w:t>
      </w:r>
      <w:r w:rsidR="001E1272">
        <w:rPr>
          <w:rFonts w:cs="Arial"/>
          <w:bCs/>
          <w:noProof/>
          <w:color w:val="000000"/>
        </w:rPr>
        <w:t xml:space="preserve"> following: </w:t>
      </w:r>
    </w:p>
    <w:p w:rsidR="001E1272" w:rsidRDefault="001E1272" w14:paraId="3F784ACD" w14:textId="77777777">
      <w:pPr>
        <w:widowControl w:val="0"/>
        <w:adjustRightInd w:val="0"/>
        <w:ind w:left="1440"/>
        <w:textAlignment w:val="baseline"/>
        <w:rPr>
          <w:rFonts w:cs="Arial"/>
          <w:bCs/>
          <w:noProof/>
          <w:color w:val="000000"/>
        </w:rPr>
      </w:pPr>
    </w:p>
    <w:p w:rsidR="001E1272" w:rsidP="001E1272" w:rsidRDefault="001E1272" w14:paraId="04DA6328" w14:textId="77777777">
      <w:pPr>
        <w:pStyle w:val="ListParagraph"/>
        <w:autoSpaceDE w:val="0"/>
        <w:autoSpaceDN w:val="0"/>
        <w:adjustRightInd w:val="0"/>
        <w:ind w:left="1440"/>
        <w:rPr>
          <w:rFonts w:cs="Arial"/>
        </w:rPr>
      </w:pPr>
      <w:r>
        <w:rPr>
          <w:rFonts w:cs="Arial"/>
          <w:i/>
        </w:rPr>
        <w:t>Guaranteed Storage Availability Payment Adjustment</w:t>
      </w:r>
      <w:r>
        <w:rPr>
          <w:rFonts w:cs="Arial"/>
        </w:rPr>
        <w:t xml:space="preserve"> = Capacity Payment Rate </w:t>
      </w:r>
      <w:proofErr w:type="gramStart"/>
      <w:r>
        <w:rPr>
          <w:rFonts w:cs="Arial"/>
        </w:rPr>
        <w:t>x</w:t>
      </w:r>
      <w:proofErr w:type="gramEnd"/>
      <w:r>
        <w:rPr>
          <w:rFonts w:cs="Arial"/>
        </w:rPr>
        <w:t xml:space="preserve"> Storage Capacity x (the Guaranteed Storage Availability (as a percentage) minus the Equivalent Availability Factor (as a percentage));</w:t>
      </w:r>
    </w:p>
    <w:p w:rsidR="001E1272" w:rsidRDefault="001E1272" w14:paraId="491AB05A" w14:textId="77777777">
      <w:pPr>
        <w:widowControl w:val="0"/>
        <w:adjustRightInd w:val="0"/>
        <w:ind w:left="1440"/>
        <w:textAlignment w:val="baseline"/>
        <w:rPr>
          <w:rFonts w:cs="Arial"/>
          <w:bCs/>
          <w:noProof/>
          <w:color w:val="000000"/>
        </w:rPr>
      </w:pPr>
    </w:p>
    <w:p w:rsidR="001E1272" w:rsidRDefault="003E5439" w14:paraId="1FEC36BA" w14:textId="77777777">
      <w:pPr>
        <w:widowControl w:val="0"/>
        <w:adjustRightInd w:val="0"/>
        <w:ind w:left="1440"/>
        <w:textAlignment w:val="baseline"/>
        <w:rPr>
          <w:rFonts w:cs="Arial"/>
          <w:bCs/>
          <w:noProof/>
          <w:color w:val="000000"/>
        </w:rPr>
      </w:pPr>
      <w:r>
        <w:rPr>
          <w:rFonts w:cs="Arial"/>
          <w:bCs/>
          <w:noProof/>
          <w:color w:val="000000"/>
        </w:rPr>
        <w:t xml:space="preserve"> </w:t>
      </w:r>
    </w:p>
    <w:p w:rsidR="0079779A" w:rsidRDefault="003E5439" w14:paraId="43FC42BB" w14:textId="77777777">
      <w:pPr>
        <w:widowControl w:val="0"/>
        <w:adjustRightInd w:val="0"/>
        <w:ind w:left="1440"/>
        <w:textAlignment w:val="baseline"/>
        <w:rPr>
          <w:rFonts w:cs="Arial"/>
          <w:bCs/>
          <w:noProof/>
          <w:color w:val="000000"/>
        </w:rPr>
      </w:pPr>
      <w:r>
        <w:rPr>
          <w:rFonts w:cs="Arial"/>
          <w:bCs/>
          <w:i/>
          <w:noProof/>
          <w:color w:val="000000"/>
        </w:rPr>
        <w:t>provided</w:t>
      </w:r>
      <w:r>
        <w:rPr>
          <w:rFonts w:cs="Arial"/>
          <w:bCs/>
          <w:noProof/>
          <w:color w:val="000000"/>
        </w:rPr>
        <w:t xml:space="preserve">, that in any given month, the Guaranteed Storage Availability Payment Adjustment shall not exceed the Guaranteed Storage Availability Payment Adjustment Cap. </w:t>
      </w:r>
      <w:r w:rsidR="00A832A1">
        <w:rPr>
          <w:rFonts w:cs="Arial"/>
          <w:bCs/>
          <w:noProof/>
          <w:color w:val="000000"/>
        </w:rPr>
        <w:t>For avoidance of doubt the Storage Capacity in the above calculation is the capacity determined by the most recently completed Test.</w:t>
      </w:r>
    </w:p>
    <w:p w:rsidR="0079779A" w:rsidRDefault="0079779A" w14:paraId="3F98CC83" w14:textId="77777777">
      <w:pPr>
        <w:widowControl w:val="0"/>
        <w:adjustRightInd w:val="0"/>
        <w:ind w:left="1530"/>
        <w:textAlignment w:val="baseline"/>
        <w:rPr>
          <w:rFonts w:cs="Arial"/>
          <w:bCs/>
          <w:noProof/>
          <w:color w:val="000000"/>
        </w:rPr>
      </w:pPr>
    </w:p>
    <w:p w:rsidR="0079779A" w:rsidRDefault="003E5439" w14:paraId="63EA897E" w14:textId="77777777">
      <w:pPr>
        <w:widowControl w:val="0"/>
        <w:adjustRightInd w:val="0"/>
        <w:ind w:left="1440"/>
        <w:textAlignment w:val="baseline"/>
        <w:rPr>
          <w:rFonts w:cs="Arial"/>
          <w:bCs/>
          <w:noProof/>
          <w:color w:val="000000"/>
        </w:rPr>
      </w:pPr>
      <w:r>
        <w:rPr>
          <w:rFonts w:cs="Arial"/>
          <w:bCs/>
          <w:noProof/>
          <w:color w:val="000000"/>
        </w:rPr>
        <w:t xml:space="preserve">“Guaranteed Storage Availability Payment Adjustment Cap” = Storage Capacity x Capacity Payment Rate for the applicable month. </w:t>
      </w:r>
    </w:p>
    <w:p w:rsidR="0079779A" w:rsidRDefault="0079779A" w14:paraId="37A980B0" w14:textId="77777777">
      <w:pPr>
        <w:widowControl w:val="0"/>
        <w:adjustRightInd w:val="0"/>
        <w:ind w:left="1530"/>
        <w:textAlignment w:val="baseline"/>
        <w:rPr>
          <w:rFonts w:cs="Arial"/>
          <w:bCs/>
          <w:noProof/>
          <w:color w:val="000000"/>
        </w:rPr>
      </w:pPr>
    </w:p>
    <w:p w:rsidR="0079779A" w:rsidRDefault="003E5439" w14:paraId="7CBAB893" w14:textId="77777777">
      <w:pPr>
        <w:pStyle w:val="ListParagraph"/>
        <w:widowControl w:val="0"/>
        <w:adjustRightInd w:val="0"/>
        <w:ind w:left="1440"/>
        <w:textAlignment w:val="baseline"/>
        <w:rPr>
          <w:rFonts w:cs="Arial"/>
          <w:bCs/>
          <w:noProof/>
          <w:color w:val="000000"/>
        </w:rPr>
      </w:pPr>
      <w:r>
        <w:rPr>
          <w:rFonts w:cs="Arial"/>
          <w:bCs/>
          <w:noProof/>
          <w:color w:val="000000"/>
        </w:rPr>
        <w:t xml:space="preserve">“Hours” means, for each month during the Delivery Period, the total </w:t>
      </w:r>
      <w:r>
        <w:rPr>
          <w:rFonts w:cs="Arial"/>
          <w:bCs/>
          <w:noProof/>
          <w:color w:val="000000"/>
        </w:rPr>
        <w:lastRenderedPageBreak/>
        <w:t xml:space="preserve">number of hours in such month.  </w:t>
      </w:r>
    </w:p>
    <w:p w:rsidR="0079779A" w:rsidRDefault="0079779A" w14:paraId="2247DB09" w14:textId="77777777">
      <w:pPr>
        <w:widowControl w:val="0"/>
        <w:adjustRightInd w:val="0"/>
        <w:ind w:left="1530"/>
        <w:textAlignment w:val="baseline"/>
        <w:rPr>
          <w:rFonts w:cs="Arial"/>
          <w:bCs/>
          <w:noProof/>
          <w:color w:val="000000"/>
        </w:rPr>
      </w:pPr>
    </w:p>
    <w:p w:rsidR="0079779A" w:rsidRDefault="003E5439" w14:paraId="39AAB705" w14:textId="77777777">
      <w:pPr>
        <w:pStyle w:val="ListParagraph"/>
        <w:widowControl w:val="0"/>
        <w:adjustRightInd w:val="0"/>
        <w:ind w:left="1440"/>
        <w:textAlignment w:val="baseline"/>
        <w:rPr>
          <w:rFonts w:cs="Arial"/>
          <w:bCs/>
          <w:noProof/>
          <w:color w:val="000000"/>
        </w:rPr>
      </w:pPr>
      <w:r>
        <w:rPr>
          <w:rFonts w:cs="Arial"/>
          <w:bCs/>
          <w:noProof/>
          <w:color w:val="000000"/>
        </w:rPr>
        <w:t>“Total Equivalent Forced Outage Hours” means the sum of the number of Equivalent Outage Hours during Battery Storage System Forced Outages during the applicable month.</w:t>
      </w:r>
    </w:p>
    <w:p w:rsidR="0079779A" w:rsidRDefault="0079779A" w14:paraId="653C10FB" w14:textId="77777777">
      <w:pPr>
        <w:pStyle w:val="ListParagraph"/>
        <w:widowControl w:val="0"/>
        <w:adjustRightInd w:val="0"/>
        <w:ind w:left="1440"/>
        <w:textAlignment w:val="baseline"/>
        <w:rPr>
          <w:rFonts w:cs="Arial"/>
          <w:bCs/>
          <w:noProof/>
          <w:color w:val="000000"/>
        </w:rPr>
      </w:pPr>
    </w:p>
    <w:p w:rsidR="0079779A" w:rsidRDefault="003E5439" w14:paraId="4C64690A" w14:textId="77777777">
      <w:pPr>
        <w:tabs>
          <w:tab w:val="left" w:pos="2880"/>
        </w:tabs>
        <w:ind w:left="1440"/>
        <w:rPr>
          <w:rFonts w:cs="Arial"/>
          <w:bCs/>
          <w:noProof/>
          <w:color w:val="000000"/>
        </w:rPr>
      </w:pPr>
      <w:r>
        <w:rPr>
          <w:rFonts w:cs="Arial"/>
          <w:bCs/>
          <w:noProof/>
          <w:color w:val="000000"/>
        </w:rPr>
        <w:t xml:space="preserve">“Total Equivalent Planned Outage Hours” means the sum of the number of Equivalent Outage Hours during Battery Storage System Planned Outages during the applicable month. </w:t>
      </w:r>
    </w:p>
    <w:p w:rsidR="0079779A" w:rsidRDefault="0079779A" w14:paraId="431E8823" w14:textId="77777777">
      <w:pPr>
        <w:tabs>
          <w:tab w:val="left" w:pos="2880"/>
        </w:tabs>
        <w:ind w:left="1440"/>
        <w:rPr>
          <w:rFonts w:cs="Arial"/>
          <w:bCs/>
          <w:noProof/>
          <w:color w:val="000000"/>
        </w:rPr>
      </w:pPr>
    </w:p>
    <w:p w:rsidR="0079779A" w:rsidRDefault="003E5439" w14:paraId="055988F3" w14:textId="77777777">
      <w:pPr>
        <w:tabs>
          <w:tab w:val="left" w:pos="2880"/>
        </w:tabs>
        <w:ind w:left="1440"/>
        <w:rPr>
          <w:rFonts w:cs="Arial"/>
          <w:bCs/>
          <w:noProof/>
          <w:color w:val="000000"/>
        </w:rPr>
      </w:pPr>
      <w:r>
        <w:rPr>
          <w:rFonts w:cs="Arial"/>
          <w:bCs/>
          <w:noProof/>
          <w:color w:val="000000"/>
          <w:u w:val="single"/>
        </w:rPr>
        <w:t>Exhibit Q – Example Adjustment Calculations</w:t>
      </w:r>
      <w:r>
        <w:rPr>
          <w:rFonts w:cs="Arial"/>
          <w:bCs/>
          <w:noProof/>
          <w:color w:val="000000"/>
        </w:rPr>
        <w:t xml:space="preserve"> sets forth the sample calculations for the Guaranteed Storage Availability Payment Adjustment. </w:t>
      </w:r>
    </w:p>
    <w:p w:rsidR="0079779A" w:rsidRDefault="0079779A" w14:paraId="56E78AC6" w14:textId="77777777">
      <w:pPr>
        <w:tabs>
          <w:tab w:val="left" w:pos="2880"/>
        </w:tabs>
        <w:ind w:left="1440"/>
        <w:rPr>
          <w:rFonts w:cs="Arial"/>
          <w:bCs/>
          <w:noProof/>
          <w:color w:val="000000"/>
        </w:rPr>
      </w:pPr>
    </w:p>
    <w:p w:rsidR="0079779A" w:rsidRDefault="003E5439" w14:paraId="0BC3A620" w14:textId="77777777">
      <w:pPr>
        <w:pStyle w:val="ArticleL3"/>
      </w:pPr>
      <w:r>
        <w:rPr>
          <w:noProof/>
        </w:rPr>
        <w:t xml:space="preserve">If in any given month during the Delivery Period the </w:t>
      </w:r>
      <w:r w:rsidR="0054628B">
        <w:rPr>
          <w:noProof/>
        </w:rPr>
        <w:t xml:space="preserve">Facility does not </w:t>
      </w:r>
      <w:r>
        <w:rPr>
          <w:lang w:eastAsia="x-none"/>
        </w:rPr>
        <w:t xml:space="preserve">operate in compliance with </w:t>
      </w:r>
      <w:r w:rsidR="0054628B">
        <w:rPr>
          <w:lang w:eastAsia="x-none"/>
        </w:rPr>
        <w:t xml:space="preserve">one or more </w:t>
      </w:r>
      <w:r>
        <w:rPr>
          <w:lang w:eastAsia="x-none"/>
        </w:rPr>
        <w:t>Dispatch Notice</w:t>
      </w:r>
      <w:r w:rsidR="0054628B">
        <w:rPr>
          <w:lang w:eastAsia="x-none"/>
        </w:rPr>
        <w:t>s</w:t>
      </w:r>
      <w:r>
        <w:rPr>
          <w:lang w:eastAsia="x-none"/>
        </w:rPr>
        <w:t xml:space="preserve">, then </w:t>
      </w:r>
      <w:r>
        <w:rPr>
          <w:noProof/>
        </w:rPr>
        <w:t xml:space="preserve">the </w:t>
      </w:r>
      <w:r>
        <w:t xml:space="preserve">Monthly Capacity Payment shall be reduced for such month by an amount equal to the Dispatchability Adjustment, as determined according to the following formula: </w:t>
      </w:r>
    </w:p>
    <w:p w:rsidR="0079779A" w:rsidRDefault="003E5439" w14:paraId="6BC8C515" w14:textId="77777777">
      <w:pPr>
        <w:pStyle w:val="ArticleL4"/>
        <w:numPr>
          <w:ilvl w:val="0"/>
          <w:numId w:val="0"/>
        </w:numPr>
        <w:tabs>
          <w:tab w:val="num" w:pos="2970"/>
        </w:tabs>
        <w:ind w:firstLine="720"/>
      </w:pPr>
      <w:r>
        <w:t>“</w:t>
      </w:r>
      <w:r>
        <w:rPr>
          <w:u w:val="single"/>
        </w:rPr>
        <w:t xml:space="preserve">Dispatchability </w:t>
      </w:r>
      <w:proofErr w:type="spellStart"/>
      <w:r>
        <w:rPr>
          <w:u w:val="single"/>
        </w:rPr>
        <w:t>Adjustment</w:t>
      </w:r>
      <w:bookmarkStart w:name="_Hlk66458230" w:id="196"/>
      <w:r>
        <w:rPr>
          <w:u w:val="single"/>
          <w:vertAlign w:val="subscript"/>
        </w:rPr>
        <w:t>m</w:t>
      </w:r>
      <w:bookmarkEnd w:id="196"/>
      <w:proofErr w:type="spellEnd"/>
      <w:r>
        <w:t xml:space="preserve">” = SC x CP x </w:t>
      </w:r>
      <w:proofErr w:type="spellStart"/>
      <w:r>
        <w:t>DAF</w:t>
      </w:r>
      <w:r>
        <w:rPr>
          <w:u w:val="single"/>
          <w:vertAlign w:val="subscript"/>
        </w:rPr>
        <w:t>m</w:t>
      </w:r>
      <w:proofErr w:type="spellEnd"/>
      <w:r>
        <w:t xml:space="preserve">, where: </w:t>
      </w:r>
    </w:p>
    <w:p w:rsidR="0079779A" w:rsidRDefault="003E5439" w14:paraId="103D9DF5" w14:textId="77777777">
      <w:pPr>
        <w:spacing w:after="240"/>
        <w:ind w:left="720"/>
        <w:rPr>
          <w:rFonts w:cs="Arial"/>
          <w:lang w:val="x-none" w:eastAsia="x-none"/>
        </w:rPr>
      </w:pPr>
      <w:r>
        <w:t xml:space="preserve">SC = Storage Capacity, </w:t>
      </w:r>
      <w:r>
        <w:rPr>
          <w:rFonts w:cs="Arial"/>
          <w:lang w:val="x-none" w:eastAsia="x-none"/>
        </w:rPr>
        <w:t>as determined by the most recently completed Test</w:t>
      </w:r>
    </w:p>
    <w:p w:rsidR="0079779A" w:rsidRDefault="003E5439" w14:paraId="26E18610" w14:textId="77777777">
      <w:pPr>
        <w:spacing w:after="240"/>
        <w:ind w:left="720"/>
        <w:rPr>
          <w:lang w:eastAsia="x-none"/>
        </w:rPr>
      </w:pPr>
      <w:r>
        <w:rPr>
          <w:rFonts w:cs="Arial"/>
          <w:lang w:eastAsia="x-none"/>
        </w:rPr>
        <w:t xml:space="preserve">CP = Capacity Payment Rate, as set forth in </w:t>
      </w:r>
      <w:r>
        <w:rPr>
          <w:u w:val="single"/>
          <w:lang w:val="x-none" w:eastAsia="x-none"/>
        </w:rPr>
        <w:t>Exhibit J</w:t>
      </w:r>
      <w:r>
        <w:rPr>
          <w:u w:val="single"/>
          <w:lang w:eastAsia="x-none"/>
        </w:rPr>
        <w:t xml:space="preserve"> – Battery Payment Rate and Capacity Payment Rate</w:t>
      </w:r>
      <w:r>
        <w:rPr>
          <w:lang w:eastAsia="x-none"/>
        </w:rPr>
        <w:t xml:space="preserve"> </w:t>
      </w:r>
    </w:p>
    <w:p w:rsidRPr="00B43240" w:rsidR="0079779A" w:rsidRDefault="003E5439" w14:paraId="34E0E749" w14:textId="77777777">
      <w:pPr>
        <w:spacing w:after="240"/>
        <w:ind w:left="720"/>
        <w:rPr>
          <w:lang w:eastAsia="x-none"/>
        </w:rPr>
      </w:pPr>
      <w:r w:rsidRPr="00BA6F11">
        <w:rPr>
          <w:vertAlign w:val="subscript"/>
        </w:rPr>
        <w:t xml:space="preserve">m </w:t>
      </w:r>
      <w:r w:rsidRPr="00BA6F11">
        <w:t xml:space="preserve">= a given month </w:t>
      </w:r>
    </w:p>
    <w:p w:rsidR="0079779A" w:rsidRDefault="003E5439" w14:paraId="33159C55" w14:textId="77777777">
      <w:pPr>
        <w:spacing w:after="240"/>
        <w:ind w:left="720"/>
        <w:rPr>
          <w:rFonts w:cs="Arial"/>
          <w:lang w:eastAsia="x-none"/>
        </w:rPr>
      </w:pPr>
      <w:proofErr w:type="spellStart"/>
      <w:r w:rsidRPr="00497A1E">
        <w:rPr>
          <w:rFonts w:cs="Arial"/>
          <w:lang w:eastAsia="x-none"/>
        </w:rPr>
        <w:t>DAF</w:t>
      </w:r>
      <w:r w:rsidRPr="00BA6F11">
        <w:rPr>
          <w:vertAlign w:val="subscript"/>
        </w:rPr>
        <w:t>m</w:t>
      </w:r>
      <w:proofErr w:type="spellEnd"/>
      <w:r>
        <w:rPr>
          <w:rFonts w:cs="Arial"/>
          <w:lang w:eastAsia="x-none"/>
        </w:rPr>
        <w:t xml:space="preserve"> (Dispatch Availability Factor) = </w:t>
      </w:r>
      <w:r w:rsidRPr="00497A1E">
        <w:rPr>
          <w:rFonts w:cs="Arial"/>
          <w:lang w:eastAsia="x-none"/>
        </w:rPr>
        <w:t xml:space="preserve">Shortfall </w:t>
      </w:r>
      <w:proofErr w:type="spellStart"/>
      <w:r w:rsidRPr="00497A1E" w:rsidR="00D31EBD">
        <w:rPr>
          <w:rFonts w:cs="Arial"/>
          <w:lang w:eastAsia="x-none"/>
        </w:rPr>
        <w:t>Hours</w:t>
      </w:r>
      <w:r w:rsidRPr="00BA6F11" w:rsidR="00D31EBD">
        <w:rPr>
          <w:vertAlign w:val="subscript"/>
        </w:rPr>
        <w:t>m</w:t>
      </w:r>
      <w:proofErr w:type="spellEnd"/>
      <w:r w:rsidRPr="00497A1E" w:rsidR="00D31EBD">
        <w:rPr>
          <w:rFonts w:cs="Arial"/>
          <w:lang w:eastAsia="x-none"/>
        </w:rPr>
        <w:t xml:space="preserve"> </w:t>
      </w:r>
      <w:r w:rsidRPr="00497A1E">
        <w:rPr>
          <w:rFonts w:cs="Arial"/>
          <w:lang w:eastAsia="x-none"/>
        </w:rPr>
        <w:t xml:space="preserve">/ On-Control </w:t>
      </w:r>
      <w:proofErr w:type="spellStart"/>
      <w:r w:rsidRPr="00497A1E" w:rsidR="00D31EBD">
        <w:rPr>
          <w:rFonts w:cs="Arial"/>
          <w:lang w:eastAsia="x-none"/>
        </w:rPr>
        <w:t>Hours</w:t>
      </w:r>
      <w:r w:rsidRPr="00BA6F11" w:rsidR="00D31EBD">
        <w:rPr>
          <w:vertAlign w:val="subscript"/>
        </w:rPr>
        <w:t>m</w:t>
      </w:r>
      <w:proofErr w:type="spellEnd"/>
      <w:r>
        <w:rPr>
          <w:rFonts w:cs="Arial"/>
          <w:lang w:eastAsia="x-none"/>
        </w:rPr>
        <w:t xml:space="preserve">, where: </w:t>
      </w:r>
      <w:r>
        <w:rPr>
          <w:rFonts w:cs="Arial"/>
          <w:lang w:eastAsia="x-none"/>
        </w:rPr>
        <w:tab/>
      </w:r>
    </w:p>
    <w:p w:rsidRPr="00497A1E" w:rsidR="00D31EBD" w:rsidP="00A903DE" w:rsidRDefault="006428F3" w14:paraId="5F1B4749" w14:textId="77777777">
      <w:pPr>
        <w:spacing w:after="240"/>
        <w:ind w:left="2880" w:hanging="2160"/>
        <w:rPr>
          <w:rFonts w:ascii="Calibri" w:hAnsi="Calibri"/>
          <w:sz w:val="22"/>
          <w:szCs w:val="22"/>
          <w:lang w:eastAsia="x-none"/>
        </w:rPr>
      </w:pPr>
      <w:r>
        <w:rPr>
          <w:rFonts w:cs="Arial"/>
          <w:lang w:eastAsia="x-none"/>
        </w:rPr>
        <w:t xml:space="preserve">Shortfall </w:t>
      </w:r>
      <w:proofErr w:type="spellStart"/>
      <w:r>
        <w:rPr>
          <w:rFonts w:cs="Arial"/>
          <w:lang w:eastAsia="x-none"/>
        </w:rPr>
        <w:t>Hours</w:t>
      </w:r>
      <w:r w:rsidRPr="00BA6F11">
        <w:rPr>
          <w:vertAlign w:val="subscript"/>
        </w:rPr>
        <w:t>m</w:t>
      </w:r>
      <w:proofErr w:type="spellEnd"/>
      <w:r w:rsidRPr="00BA6F11">
        <w:t xml:space="preserve"> = </w:t>
      </w:r>
      <w:r>
        <w:tab/>
      </w:r>
      <w:r w:rsidR="00D31EBD">
        <w:rPr>
          <w:lang w:eastAsia="x-none"/>
        </w:rPr>
        <w:t xml:space="preserve">the total number of hours that the </w:t>
      </w:r>
      <w:r w:rsidR="00A903DE">
        <w:rPr>
          <w:lang w:eastAsia="x-none"/>
        </w:rPr>
        <w:t xml:space="preserve">Facility </w:t>
      </w:r>
      <w:r w:rsidR="00D31EBD">
        <w:rPr>
          <w:lang w:eastAsia="x-none"/>
        </w:rPr>
        <w:t xml:space="preserve">was unable to operate in compliance with a Dispatch Notice. </w:t>
      </w:r>
      <w:r w:rsidRPr="00BA6F11" w:rsidR="00D31EBD">
        <w:rPr>
          <w:lang w:eastAsia="x-none"/>
        </w:rPr>
        <w:t xml:space="preserve">The </w:t>
      </w:r>
      <w:r w:rsidR="0054628B">
        <w:rPr>
          <w:lang w:eastAsia="x-none"/>
        </w:rPr>
        <w:t xml:space="preserve">Facility </w:t>
      </w:r>
      <w:r w:rsidRPr="00BA6F11" w:rsidR="00D31EBD">
        <w:rPr>
          <w:lang w:eastAsia="x-none"/>
        </w:rPr>
        <w:t xml:space="preserve">will be </w:t>
      </w:r>
      <w:r w:rsidR="0054628B">
        <w:rPr>
          <w:lang w:eastAsia="x-none"/>
        </w:rPr>
        <w:t xml:space="preserve">deemed </w:t>
      </w:r>
      <w:r w:rsidRPr="00BA6F11" w:rsidR="00D31EBD">
        <w:rPr>
          <w:lang w:eastAsia="x-none"/>
        </w:rPr>
        <w:t xml:space="preserve">to </w:t>
      </w:r>
      <w:r w:rsidRPr="00BA6F11" w:rsidR="00A903DE">
        <w:rPr>
          <w:lang w:eastAsia="x-none"/>
        </w:rPr>
        <w:t xml:space="preserve">be </w:t>
      </w:r>
      <w:r w:rsidR="0054628B">
        <w:rPr>
          <w:lang w:eastAsia="x-none"/>
        </w:rPr>
        <w:t xml:space="preserve">unable to operate in compliance with a Dispatch Notice </w:t>
      </w:r>
      <w:r w:rsidRPr="00BA6F11" w:rsidR="00D31EBD">
        <w:rPr>
          <w:lang w:eastAsia="x-none"/>
        </w:rPr>
        <w:t xml:space="preserve">for any hour </w:t>
      </w:r>
      <w:r w:rsidR="00AC6617">
        <w:rPr>
          <w:lang w:eastAsia="x-none"/>
        </w:rPr>
        <w:t>for which the following</w:t>
      </w:r>
      <w:r w:rsidR="00D338F2">
        <w:rPr>
          <w:lang w:eastAsia="x-none"/>
        </w:rPr>
        <w:t xml:space="preserve"> calculation is greater than 0.02</w:t>
      </w:r>
      <w:r w:rsidRPr="00BA6F11" w:rsidR="00D31EBD">
        <w:rPr>
          <w:lang w:eastAsia="x-none"/>
        </w:rPr>
        <w:t>:</w:t>
      </w:r>
    </w:p>
    <w:p w:rsidRPr="00A61D09" w:rsidR="00E92FC5" w:rsidP="00A61D09" w:rsidRDefault="008E4CF7" w14:paraId="348AB6A1" w14:textId="77777777">
      <w:pPr>
        <w:ind w:left="3240"/>
        <w:rPr>
          <w:rFonts w:cs="Arial"/>
        </w:rPr>
      </w:pPr>
      <w:r w:rsidRPr="00A61D09">
        <w:rPr>
          <w:rFonts w:cs="Arial"/>
        </w:rPr>
        <w:t>Sum of the</w:t>
      </w:r>
      <w:r w:rsidRPr="00A61D09" w:rsidR="00101E7E">
        <w:rPr>
          <w:rFonts w:cs="Arial"/>
        </w:rPr>
        <w:t xml:space="preserve"> absolute value of the</w:t>
      </w:r>
      <w:r w:rsidRPr="00A61D09">
        <w:rPr>
          <w:rFonts w:cs="Arial"/>
        </w:rPr>
        <w:t xml:space="preserve"> 5</w:t>
      </w:r>
      <w:r w:rsidRPr="00A61D09" w:rsidR="005E63B4">
        <w:rPr>
          <w:rFonts w:cs="Arial"/>
        </w:rPr>
        <w:t>-</w:t>
      </w:r>
      <w:r w:rsidRPr="00A61D09">
        <w:rPr>
          <w:rFonts w:cs="Arial"/>
        </w:rPr>
        <w:t xml:space="preserve"> minute deviations</w:t>
      </w:r>
      <w:r w:rsidRPr="00A61D09" w:rsidR="005E63B4">
        <w:rPr>
          <w:rFonts w:cs="Arial"/>
        </w:rPr>
        <w:t xml:space="preserve"> in the Facility Output</w:t>
      </w:r>
      <w:r w:rsidRPr="00A61D09">
        <w:rPr>
          <w:rFonts w:cs="Arial"/>
        </w:rPr>
        <w:t>/sum of</w:t>
      </w:r>
      <w:r w:rsidRPr="00A61D09" w:rsidR="005E63B4">
        <w:rPr>
          <w:rFonts w:cs="Arial"/>
        </w:rPr>
        <w:t xml:space="preserve"> the</w:t>
      </w:r>
      <w:r w:rsidRPr="00A61D09">
        <w:rPr>
          <w:rFonts w:cs="Arial"/>
        </w:rPr>
        <w:t xml:space="preserve"> </w:t>
      </w:r>
      <w:r w:rsidRPr="00A61D09" w:rsidR="00101E7E">
        <w:rPr>
          <w:rFonts w:cs="Arial"/>
        </w:rPr>
        <w:t xml:space="preserve">absolute value of the </w:t>
      </w:r>
      <w:r w:rsidRPr="00A61D09">
        <w:rPr>
          <w:rFonts w:cs="Arial"/>
        </w:rPr>
        <w:t>5</w:t>
      </w:r>
      <w:r w:rsidRPr="00A61D09" w:rsidR="005E63B4">
        <w:rPr>
          <w:rFonts w:cs="Arial"/>
        </w:rPr>
        <w:t>-</w:t>
      </w:r>
      <w:r w:rsidRPr="00A61D09">
        <w:rPr>
          <w:rFonts w:cs="Arial"/>
        </w:rPr>
        <w:t xml:space="preserve"> minute </w:t>
      </w:r>
      <w:r w:rsidRPr="00A61D09" w:rsidR="005E63B4">
        <w:rPr>
          <w:rFonts w:cs="Arial"/>
        </w:rPr>
        <w:t>D</w:t>
      </w:r>
      <w:r w:rsidRPr="00A61D09">
        <w:rPr>
          <w:rFonts w:cs="Arial"/>
        </w:rPr>
        <w:t xml:space="preserve">ispatch </w:t>
      </w:r>
      <w:r w:rsidRPr="00A61D09" w:rsidR="005E63B4">
        <w:rPr>
          <w:rFonts w:cs="Arial"/>
        </w:rPr>
        <w:t>N</w:t>
      </w:r>
      <w:r w:rsidRPr="00A61D09">
        <w:rPr>
          <w:rFonts w:cs="Arial"/>
        </w:rPr>
        <w:t>otices</w:t>
      </w:r>
      <w:r w:rsidRPr="00A61D09" w:rsidR="005E63B4">
        <w:rPr>
          <w:rFonts w:cs="Arial"/>
        </w:rPr>
        <w:t xml:space="preserve"> for the Facility Output.</w:t>
      </w:r>
    </w:p>
    <w:p w:rsidRPr="00A61D09" w:rsidR="00E92FC5" w:rsidP="00D31EBD" w:rsidRDefault="00E92FC5" w14:paraId="488D02AC" w14:textId="77777777">
      <w:pPr>
        <w:ind w:left="3240" w:firstLine="360"/>
        <w:rPr>
          <w:rFonts w:cs="Arial"/>
        </w:rPr>
      </w:pPr>
    </w:p>
    <w:p w:rsidR="00D31EBD" w:rsidP="00D31EBD" w:rsidRDefault="00D31EBD" w14:paraId="64AC6590" w14:textId="77777777">
      <w:pPr>
        <w:ind w:left="720" w:firstLine="720"/>
      </w:pPr>
    </w:p>
    <w:p w:rsidR="00D31EBD" w:rsidP="00D31EBD" w:rsidRDefault="00D31EBD" w14:paraId="44C1206D" w14:textId="77777777">
      <w:pPr>
        <w:ind w:left="720" w:firstLine="720"/>
      </w:pPr>
      <w:r>
        <w:t>Where:</w:t>
      </w:r>
    </w:p>
    <w:p w:rsidR="00D31EBD" w:rsidP="00D31EBD" w:rsidRDefault="006F311B" w14:paraId="4005CAA4" w14:textId="77777777">
      <w:pPr>
        <w:pStyle w:val="ListParagraph"/>
        <w:ind w:left="2880"/>
      </w:pPr>
      <w:r>
        <w:t xml:space="preserve">Dispatch Notice:  </w:t>
      </w:r>
      <w:r w:rsidR="00D31EBD">
        <w:t xml:space="preserve">Dispatch Notice in MW during the </w:t>
      </w:r>
      <w:r>
        <w:t xml:space="preserve">each </w:t>
      </w:r>
      <w:r w:rsidR="00D31EBD">
        <w:t>5-minute interval in</w:t>
      </w:r>
      <w:r>
        <w:t xml:space="preserve"> the respective dispatch</w:t>
      </w:r>
      <w:r w:rsidR="00D31EBD">
        <w:t xml:space="preserve"> hour</w:t>
      </w:r>
      <w:r w:rsidR="00D31EBD">
        <w:rPr>
          <w:i/>
          <w:iCs/>
        </w:rPr>
        <w:t xml:space="preserve">. </w:t>
      </w:r>
    </w:p>
    <w:p w:rsidRPr="00A903DE" w:rsidR="00D31EBD" w:rsidP="00D31EBD" w:rsidRDefault="00D31EBD" w14:paraId="393BD5A3" w14:textId="77777777">
      <w:pPr>
        <w:pStyle w:val="ListParagraph"/>
        <w:ind w:left="2880"/>
      </w:pPr>
    </w:p>
    <w:p w:rsidR="00D31EBD" w:rsidP="0069248E" w:rsidRDefault="006F311B" w14:paraId="477FA2CF" w14:textId="77777777">
      <w:pPr>
        <w:pStyle w:val="ListParagraph"/>
        <w:ind w:left="2880"/>
      </w:pPr>
      <w:r>
        <w:t xml:space="preserve">Facility Output: </w:t>
      </w:r>
      <w:r w:rsidR="00D31EBD">
        <w:t xml:space="preserve">Average output in MW of the Facility during </w:t>
      </w:r>
      <w:r>
        <w:t xml:space="preserve">each </w:t>
      </w:r>
      <w:r w:rsidR="00D31EBD">
        <w:t xml:space="preserve">5-minute interval in </w:t>
      </w:r>
      <w:r>
        <w:t xml:space="preserve">the respective dispatch </w:t>
      </w:r>
      <w:r w:rsidR="00D31EBD">
        <w:t>hour as measured by the BESS Meter.</w:t>
      </w:r>
    </w:p>
    <w:p w:rsidR="00D31EBD" w:rsidP="00BA6F11" w:rsidRDefault="00D31EBD" w14:paraId="0695BBD0" w14:textId="77777777">
      <w:pPr>
        <w:pStyle w:val="ListParagraph"/>
        <w:ind w:left="2880"/>
        <w:rPr>
          <w:rFonts w:cs="Arial"/>
          <w:lang w:eastAsia="x-none"/>
        </w:rPr>
      </w:pPr>
    </w:p>
    <w:p w:rsidR="00A903DE" w:rsidP="00BA6F11" w:rsidRDefault="00A903DE" w14:paraId="3952E185" w14:textId="77777777">
      <w:pPr>
        <w:spacing w:after="240"/>
        <w:ind w:left="3780" w:hanging="2250"/>
        <w:rPr>
          <w:rFonts w:cs="Arial"/>
          <w:lang w:eastAsia="x-none"/>
        </w:rPr>
      </w:pPr>
      <w:r>
        <w:rPr>
          <w:rFonts w:cs="Arial"/>
          <w:lang w:eastAsia="x-none"/>
        </w:rPr>
        <w:t xml:space="preserve">On-Control </w:t>
      </w:r>
      <w:proofErr w:type="spellStart"/>
      <w:r>
        <w:rPr>
          <w:rFonts w:cs="Arial"/>
          <w:lang w:eastAsia="x-none"/>
        </w:rPr>
        <w:t>Hours</w:t>
      </w:r>
      <w:r>
        <w:rPr>
          <w:u w:val="single"/>
          <w:vertAlign w:val="subscript"/>
        </w:rPr>
        <w:t>m</w:t>
      </w:r>
      <w:proofErr w:type="spellEnd"/>
      <w:r w:rsidDel="00D31EBD">
        <w:rPr>
          <w:rFonts w:cs="Arial"/>
          <w:lang w:eastAsia="x-none"/>
        </w:rPr>
        <w:t xml:space="preserve"> </w:t>
      </w:r>
      <w:r>
        <w:rPr>
          <w:rFonts w:cs="Arial"/>
          <w:lang w:eastAsia="x-none"/>
        </w:rPr>
        <w:t xml:space="preserve">= </w:t>
      </w:r>
      <w:r>
        <w:rPr>
          <w:lang w:eastAsia="x-none"/>
        </w:rPr>
        <w:t xml:space="preserve">the total number of hours </w:t>
      </w:r>
      <w:proofErr w:type="gramStart"/>
      <w:r>
        <w:rPr>
          <w:lang w:eastAsia="x-none"/>
        </w:rPr>
        <w:t>during</w:t>
      </w:r>
      <w:r w:rsidR="006F311B">
        <w:rPr>
          <w:lang w:eastAsia="x-none"/>
        </w:rPr>
        <w:t xml:space="preserve"> </w:t>
      </w:r>
      <w:r>
        <w:rPr>
          <w:lang w:eastAsia="x-none"/>
        </w:rPr>
        <w:t xml:space="preserve"> </w:t>
      </w:r>
      <w:r w:rsidR="0054628B">
        <w:rPr>
          <w:lang w:eastAsia="x-none"/>
        </w:rPr>
        <w:t>for</w:t>
      </w:r>
      <w:proofErr w:type="gramEnd"/>
      <w:r w:rsidR="0054628B">
        <w:rPr>
          <w:lang w:eastAsia="x-none"/>
        </w:rPr>
        <w:t xml:space="preserve"> which </w:t>
      </w:r>
      <w:r>
        <w:rPr>
          <w:lang w:eastAsia="x-none"/>
        </w:rPr>
        <w:t xml:space="preserve">the </w:t>
      </w:r>
      <w:r w:rsidR="0054628B">
        <w:rPr>
          <w:lang w:eastAsia="x-none"/>
        </w:rPr>
        <w:t xml:space="preserve">Company has </w:t>
      </w:r>
      <w:r w:rsidR="00BB4F69">
        <w:rPr>
          <w:lang w:eastAsia="x-none"/>
        </w:rPr>
        <w:t>dispatched the Facility</w:t>
      </w:r>
      <w:r w:rsidR="0054628B">
        <w:rPr>
          <w:lang w:eastAsia="x-none"/>
        </w:rPr>
        <w:t xml:space="preserve">. </w:t>
      </w:r>
    </w:p>
    <w:p w:rsidR="0079779A" w:rsidRDefault="003E5439" w14:paraId="3BA285AE" w14:textId="77777777">
      <w:pPr>
        <w:tabs>
          <w:tab w:val="left" w:pos="2880"/>
        </w:tabs>
        <w:ind w:left="1440"/>
        <w:rPr>
          <w:rFonts w:cs="Arial"/>
          <w:bCs/>
          <w:noProof/>
          <w:color w:val="000000"/>
          <w:u w:val="single"/>
        </w:rPr>
      </w:pPr>
      <w:r>
        <w:rPr>
          <w:rFonts w:cs="Arial"/>
          <w:bCs/>
          <w:noProof/>
          <w:color w:val="000000"/>
          <w:u w:val="single"/>
        </w:rPr>
        <w:t>Exhibit Q – Example Adjustment Calculations</w:t>
      </w:r>
      <w:r>
        <w:rPr>
          <w:rFonts w:cs="Arial"/>
          <w:bCs/>
          <w:noProof/>
          <w:color w:val="000000"/>
        </w:rPr>
        <w:t xml:space="preserve"> sets forth the sample calculations for the Dispatchability Adjustment.</w:t>
      </w:r>
      <w:r>
        <w:rPr>
          <w:rFonts w:cs="Arial"/>
          <w:bCs/>
          <w:noProof/>
          <w:color w:val="000000"/>
          <w:u w:val="single"/>
        </w:rPr>
        <w:t xml:space="preserve"> </w:t>
      </w:r>
    </w:p>
    <w:p w:rsidR="0079779A" w:rsidRDefault="0079779A" w14:paraId="64EF404C" w14:textId="77777777">
      <w:pPr>
        <w:tabs>
          <w:tab w:val="left" w:pos="2880"/>
        </w:tabs>
        <w:ind w:left="1440"/>
        <w:rPr>
          <w:rFonts w:cs="Arial"/>
          <w:bCs/>
          <w:noProof/>
          <w:color w:val="000000"/>
          <w:u w:val="single"/>
        </w:rPr>
      </w:pPr>
    </w:p>
    <w:p w:rsidR="0079779A" w:rsidRDefault="003E5439" w14:paraId="49828684" w14:textId="77777777">
      <w:pPr>
        <w:pStyle w:val="ArticleL2"/>
        <w:keepNext w:val="0"/>
        <w:rPr>
          <w:u w:val="single"/>
        </w:rPr>
      </w:pPr>
      <w:r>
        <w:rPr>
          <w:u w:val="single"/>
        </w:rPr>
        <w:t xml:space="preserve">[Excess Throughput Charge. </w:t>
      </w:r>
      <w:r>
        <w:rPr>
          <w:u w:val="single"/>
        </w:rPr>
        <w:fldChar w:fldCharType="begin"/>
      </w:r>
      <w:r>
        <w:rPr>
          <w:u w:val="single"/>
        </w:rPr>
        <w:instrText>tc "</w:instrText>
      </w:r>
      <w:bookmarkStart w:name="_Toc119238925" w:id="197"/>
      <w:r>
        <w:rPr>
          <w:u w:val="single"/>
        </w:rPr>
        <w:instrText>8.5</w:instrText>
      </w:r>
      <w:r>
        <w:rPr>
          <w:u w:val="single"/>
        </w:rPr>
        <w:tab/>
        <w:instrText>Excess Throughput Charge</w:instrText>
      </w:r>
      <w:bookmarkEnd w:id="197"/>
      <w:r>
        <w:rPr>
          <w:u w:val="single"/>
        </w:rPr>
        <w:instrText>” \f C \l 2</w:instrText>
      </w:r>
      <w:r>
        <w:rPr>
          <w:u w:val="single"/>
        </w:rPr>
        <w:fldChar w:fldCharType="end"/>
      </w:r>
    </w:p>
    <w:p w:rsidR="0079779A" w:rsidRDefault="003E5439" w14:paraId="2F6F46CD" w14:textId="77777777">
      <w:pPr>
        <w:pStyle w:val="ArticleL3"/>
        <w:keepNext w:val="0"/>
      </w:pPr>
      <w:r>
        <w:t>Company shall pay Seller a payment equal to [</w:t>
      </w:r>
      <w:r>
        <w:rPr>
          <w:highlight w:val="yellow"/>
        </w:rPr>
        <w:t>___</w:t>
      </w:r>
      <w:r>
        <w:t xml:space="preserve">] for each MWh of Energy discharged by the Battery Storage System above the Annual Throughput Limit in any given Commercial Operation </w:t>
      </w:r>
      <w:proofErr w:type="gramStart"/>
      <w:r>
        <w:t>Year[</w:t>
      </w:r>
      <w:proofErr w:type="gramEnd"/>
      <w:r>
        <w:t xml:space="preserve">, up to but not exceeding the sum of the Annual Throughput Limit </w:t>
      </w:r>
      <w:r>
        <w:rPr>
          <w:u w:val="single"/>
        </w:rPr>
        <w:t>plus</w:t>
      </w:r>
      <w:r>
        <w:t xml:space="preserve"> the Excess Throughput Limit in any given Commercial Operation Year].  For purposes of determining the amount of Energy discharged by the Battery Storage System in any given Commercial Operation Year, any Energy discharged by the Battery Storage System during a Seller Initiated Test or a Periodic Test shall be excluded.] </w:t>
      </w:r>
      <w:r>
        <w:rPr>
          <w:b/>
          <w:i/>
        </w:rPr>
        <w:t>bid-</w:t>
      </w:r>
      <w:proofErr w:type="gramStart"/>
      <w:r>
        <w:rPr>
          <w:b/>
          <w:i/>
        </w:rPr>
        <w:t>specific  --</w:t>
      </w:r>
      <w:proofErr w:type="gramEnd"/>
      <w:r>
        <w:rPr>
          <w:b/>
          <w:i/>
        </w:rPr>
        <w:t xml:space="preserve">  may be n/a</w:t>
      </w:r>
      <w:r>
        <w:rPr>
          <w:i/>
        </w:rPr>
        <w:t xml:space="preserve"> </w:t>
      </w:r>
      <w:r>
        <w:t xml:space="preserve"> </w:t>
      </w:r>
    </w:p>
    <w:p w:rsidR="0079779A" w:rsidRDefault="003E5439" w14:paraId="5AFBFFF0" w14:textId="77777777">
      <w:pPr>
        <w:pStyle w:val="ArticleL2"/>
        <w:keepNext w:val="0"/>
      </w:pPr>
      <w:r>
        <w:rPr>
          <w:u w:val="single"/>
        </w:rPr>
        <w:t>[Annual Throughput Limit Banking and Borrowing.</w:t>
      </w:r>
      <w:r>
        <w:t xml:space="preserve"> </w:t>
      </w:r>
    </w:p>
    <w:p w:rsidR="0079779A" w:rsidRDefault="003E5439" w14:paraId="10966F62" w14:textId="77777777">
      <w:pPr>
        <w:pStyle w:val="ArticleL3"/>
        <w:keepNext w:val="0"/>
      </w:pPr>
      <w:r>
        <w:t>If, in any Commercial Operation Year, Company has not used all of the Annual Throughput Limit for such Commercial Operation Year, then [</w:t>
      </w:r>
      <w:r>
        <w:rPr>
          <w:highlight w:val="yellow"/>
        </w:rPr>
        <w:t>_____</w:t>
      </w:r>
      <w:r>
        <w:t>] MWh of the unused Annual Throughput Limit for such Commercial Operation Year shall be added to the Annual Throughput Limit for the subsequent Commercial Operation Year.</w:t>
      </w:r>
    </w:p>
    <w:p w:rsidR="0079779A" w:rsidRDefault="003E5439" w14:paraId="763BCA3B" w14:textId="77777777">
      <w:pPr>
        <w:pStyle w:val="ArticleL3"/>
        <w:keepNext w:val="0"/>
      </w:pPr>
      <w:r>
        <w:t>If, in any Commercial Operation Year, Company has used all of the Annual Throughput Limit for such Commercial Operation Year, then, for such Commercial Operation year, Company may add up to [</w:t>
      </w:r>
      <w:r>
        <w:rPr>
          <w:highlight w:val="yellow"/>
        </w:rPr>
        <w:t>_____</w:t>
      </w:r>
      <w:r>
        <w:t xml:space="preserve">] MWh of the Annual Throughput Limit allocated to the subsequent Commercial Operation Year, which use shall reduce the Annual Throughput Limit for the subsequent Commercial Operation Year.] </w:t>
      </w:r>
      <w:r>
        <w:rPr>
          <w:b/>
          <w:i/>
        </w:rPr>
        <w:t>bid-specific  --  may be n/a</w:t>
      </w:r>
      <w:r>
        <w:rPr>
          <w:i/>
        </w:rPr>
        <w:t xml:space="preserve"> </w:t>
      </w:r>
      <w:r>
        <w:t xml:space="preserve"> </w:t>
      </w:r>
      <w:r>
        <w:fldChar w:fldCharType="begin"/>
      </w:r>
      <w:r>
        <w:instrText>tc "</w:instrText>
      </w:r>
      <w:bookmarkStart w:name="_Toc119238926" w:id="198"/>
      <w:r>
        <w:instrText>8.6</w:instrText>
      </w:r>
      <w:r>
        <w:tab/>
        <w:instrText>Annual Throughput Limit Banking and Borrowing</w:instrText>
      </w:r>
      <w:bookmarkEnd w:id="198"/>
      <w:r>
        <w:instrText>” \f C \l 2</w:instrText>
      </w:r>
      <w:r>
        <w:fldChar w:fldCharType="end"/>
      </w:r>
    </w:p>
    <w:p w:rsidR="0079779A" w:rsidRDefault="0079779A" w14:paraId="6ECA2C25" w14:textId="77777777">
      <w:pPr>
        <w:tabs>
          <w:tab w:val="left" w:pos="2880"/>
        </w:tabs>
        <w:ind w:left="3240"/>
      </w:pPr>
    </w:p>
    <w:p w:rsidR="0079779A" w:rsidRDefault="003E5439" w14:paraId="5D0C8B3D" w14:textId="77777777">
      <w:pPr>
        <w:pStyle w:val="ArticleL1"/>
      </w:pPr>
      <w:bookmarkStart w:name="_Toc288027265" w:id="199"/>
      <w:bookmarkStart w:name="_Toc433953989" w:id="200"/>
      <w:bookmarkStart w:name="_Toc433954147" w:id="201"/>
      <w:r>
        <w:t>Billing and Payment</w:t>
      </w:r>
      <w:bookmarkEnd w:id="199"/>
      <w:bookmarkEnd w:id="200"/>
      <w:bookmarkEnd w:id="201"/>
      <w:r>
        <w:fldChar w:fldCharType="begin"/>
      </w:r>
      <w:r>
        <w:instrText>tc "</w:instrText>
      </w:r>
      <w:bookmarkStart w:name="_Toc531859623" w:id="202"/>
      <w:bookmarkStart w:name="_Toc119238927" w:id="203"/>
      <w:r>
        <w:instrText>Article 9 – Billing and Payment</w:instrText>
      </w:r>
      <w:bookmarkEnd w:id="202"/>
      <w:bookmarkEnd w:id="203"/>
      <w:r>
        <w:instrText>” \f C \l 1</w:instrText>
      </w:r>
      <w:r>
        <w:fldChar w:fldCharType="end"/>
      </w:r>
      <w:r>
        <w:fldChar w:fldCharType="begin"/>
      </w:r>
      <w:r>
        <w:instrText xml:space="preserve"> TC </w:instrText>
      </w:r>
      <w:r>
        <w:fldChar w:fldCharType="end"/>
      </w:r>
    </w:p>
    <w:p w:rsidR="0079779A" w:rsidRDefault="003E5439" w14:paraId="4546907B" w14:textId="77777777">
      <w:pPr>
        <w:pStyle w:val="ArticleL2"/>
        <w:keepNext w:val="0"/>
      </w:pPr>
      <w:bookmarkStart w:name="_Toc288027266" w:id="204"/>
      <w:bookmarkStart w:name="_Toc433953990" w:id="205"/>
      <w:bookmarkStart w:name="_Toc433954148" w:id="206"/>
      <w:r>
        <w:rPr>
          <w:u w:val="single"/>
        </w:rPr>
        <w:t>Billing</w:t>
      </w:r>
      <w:r>
        <w:fldChar w:fldCharType="begin"/>
      </w:r>
      <w:r>
        <w:instrText>tc "</w:instrText>
      </w:r>
      <w:bookmarkStart w:name="_Toc531859624" w:id="207"/>
      <w:bookmarkStart w:name="_Toc119238928" w:id="208"/>
      <w:r>
        <w:instrText>9.1</w:instrText>
      </w:r>
      <w:r>
        <w:tab/>
        <w:instrText>Billing</w:instrText>
      </w:r>
      <w:bookmarkEnd w:id="207"/>
      <w:bookmarkEnd w:id="208"/>
      <w:r>
        <w:instrText>” \f C \l 2</w:instrText>
      </w:r>
      <w:r>
        <w:fldChar w:fldCharType="end"/>
      </w:r>
      <w:r>
        <w:t>.</w:t>
      </w:r>
      <w:bookmarkEnd w:id="204"/>
      <w:bookmarkEnd w:id="205"/>
      <w:bookmarkEnd w:id="206"/>
    </w:p>
    <w:p w:rsidR="0079779A" w:rsidRDefault="003E5439" w14:paraId="3F21990C" w14:textId="77777777">
      <w:pPr>
        <w:pStyle w:val="ArticleL3"/>
        <w:keepNext w:val="0"/>
      </w:pPr>
      <w:r>
        <w:t xml:space="preserve">The billing period under this PPA shall be the calendar month.  </w:t>
      </w:r>
    </w:p>
    <w:p w:rsidR="0079779A" w:rsidRDefault="003E5439" w14:paraId="06F93D73" w14:textId="77777777">
      <w:pPr>
        <w:pStyle w:val="ArticleL3"/>
        <w:keepNext w:val="0"/>
      </w:pPr>
      <w:r>
        <w:t xml:space="preserve">As soon as practicable and in any event within twenty (20) Days after the end of each month, Company shall provide to Seller a statement containing Company’s calculation of the amount due to Seller for such month, including the applicable billing parameters based upon Company’s reading of the Electric Metering Devices consistent with </w:t>
      </w:r>
      <w:r>
        <w:rPr>
          <w:u w:val="single"/>
        </w:rPr>
        <w:t>Section 5.5</w:t>
      </w:r>
      <w:r>
        <w:t xml:space="preserve">.  </w:t>
      </w:r>
    </w:p>
    <w:p w:rsidR="0079779A" w:rsidRDefault="003E5439" w14:paraId="22B72152" w14:textId="77777777">
      <w:pPr>
        <w:pStyle w:val="ArticleL3"/>
        <w:keepNext w:val="0"/>
      </w:pPr>
      <w:r>
        <w:t xml:space="preserve">Within fifteen (15) Business Days following receipt of Company’s billing statement, Seller shall submit an invoice to Company in a form and by a method to be determined by the Parties, showing the amount due Seller for the relevant month, specifying the products and services provided, billing meter register reads for relevant measurement quantities, total usage in kWh being billed, date and time at which </w:t>
      </w:r>
      <w:r>
        <w:lastRenderedPageBreak/>
        <w:t xml:space="preserve">accumulated and billed production was read by the Electric Metering Devices, all billing parameters, rates and factors, and any other data relevant to the calculation of payments due to Seller.  Such invoice shall include an explanation of any items in dispute, as well as all supporting documentation upon which Seller relies.  </w:t>
      </w:r>
    </w:p>
    <w:p w:rsidR="0079779A" w:rsidRDefault="003E5439" w14:paraId="668617A2" w14:textId="77777777">
      <w:pPr>
        <w:pStyle w:val="ArticleL2"/>
        <w:keepNext w:val="0"/>
      </w:pPr>
      <w:bookmarkStart w:name="_Toc433953991" w:id="209"/>
      <w:bookmarkStart w:name="_Toc433954149" w:id="210"/>
      <w:bookmarkStart w:name="_Toc288027267" w:id="211"/>
      <w:r>
        <w:rPr>
          <w:u w:val="single"/>
        </w:rPr>
        <w:t>Payment</w:t>
      </w:r>
      <w:r>
        <w:rPr>
          <w:color w:val="000000"/>
        </w:rPr>
        <w:fldChar w:fldCharType="begin"/>
      </w:r>
      <w:r>
        <w:rPr>
          <w:color w:val="000000"/>
        </w:rPr>
        <w:instrText>tc "</w:instrText>
      </w:r>
      <w:bookmarkStart w:name="_Toc531859625" w:id="212"/>
      <w:bookmarkStart w:name="_Toc119238929" w:id="213"/>
      <w:r>
        <w:rPr>
          <w:color w:val="000000"/>
        </w:rPr>
        <w:instrText>9.2</w:instrText>
      </w:r>
      <w:r>
        <w:rPr>
          <w:color w:val="000000"/>
        </w:rPr>
        <w:tab/>
        <w:instrText>Payment</w:instrText>
      </w:r>
      <w:bookmarkEnd w:id="212"/>
      <w:bookmarkEnd w:id="213"/>
      <w:r>
        <w:rPr>
          <w:color w:val="000000"/>
        </w:rPr>
        <w:instrText>” \f C \l 2</w:instrText>
      </w:r>
      <w:r>
        <w:rPr>
          <w:color w:val="000000"/>
        </w:rPr>
        <w:fldChar w:fldCharType="end"/>
      </w:r>
      <w:r>
        <w:t>.  All payments shall be remitted via check or electronic funds transfer, as designated by the owed Party, on or before the fifteenth (15</w:t>
      </w:r>
      <w:r>
        <w:rPr>
          <w:vertAlign w:val="superscript"/>
        </w:rPr>
        <w:t>th</w:t>
      </w:r>
      <w:r>
        <w:t xml:space="preserve">) Business Day following receipt of the invoice described in </w:t>
      </w:r>
      <w:r>
        <w:rPr>
          <w:u w:val="single"/>
        </w:rPr>
        <w:t>Section 9.1(C)</w:t>
      </w:r>
      <w:r>
        <w:t>.  Remittances received by mail will be considered to have been paid when due if the postmark indicates the payment was mailed on or before the fifteenth (15</w:t>
      </w:r>
      <w:r>
        <w:rPr>
          <w:vertAlign w:val="superscript"/>
        </w:rPr>
        <w:t>th</w:t>
      </w:r>
      <w:r>
        <w:t>) Business Day following receipt of the billing invoice.</w:t>
      </w:r>
      <w:bookmarkEnd w:id="209"/>
      <w:bookmarkEnd w:id="210"/>
      <w:r>
        <w:t xml:space="preserve">  </w:t>
      </w:r>
      <w:bookmarkEnd w:id="211"/>
    </w:p>
    <w:p w:rsidR="0079779A" w:rsidRDefault="003E5439" w14:paraId="4145A1AE" w14:textId="77777777">
      <w:pPr>
        <w:pStyle w:val="ArticleL3"/>
        <w:keepNext w:val="0"/>
      </w:pPr>
      <w:r>
        <w:t xml:space="preserve">If a payment is late, a late payment charge shall be applied to the unpaid balance for the number of Days payment was late and shall be added to the next billing statement.  Late payment charges shall include interest calculated using the prime rate of interest as published on the date of the invoice in </w:t>
      </w:r>
      <w:r>
        <w:rPr>
          <w:i/>
        </w:rPr>
        <w:t>The Wall Street Journal</w:t>
      </w:r>
      <w:r>
        <w:t xml:space="preserve"> (or, if unavailable, an equivalent publication on or about that date).</w:t>
      </w:r>
    </w:p>
    <w:p w:rsidR="0079779A" w:rsidRDefault="003E5439" w14:paraId="27586568" w14:textId="77777777">
      <w:pPr>
        <w:pStyle w:val="ArticleL3"/>
        <w:keepNext w:val="0"/>
      </w:pPr>
      <w:r>
        <w:t xml:space="preserve">Company at any time may offset against amounts owed to Seller, any liquidated amounts, accrued damages and other payments, and undisputed billing errors and adjustments, which are owed by Seller to Company.  </w:t>
      </w:r>
    </w:p>
    <w:p w:rsidR="0079779A" w:rsidRDefault="003E5439" w14:paraId="05370E6B" w14:textId="77777777">
      <w:pPr>
        <w:pStyle w:val="ArticleL3"/>
        <w:keepNext w:val="0"/>
      </w:pPr>
      <w:r>
        <w:t>Seller and Company may net their obligations to each other under this PPA, and payment of the net amount shall discharge all mutual undisputed obligations between the Parties.</w:t>
      </w:r>
    </w:p>
    <w:p w:rsidR="0079779A" w:rsidRDefault="003E5439" w14:paraId="2C30C4DC" w14:textId="77777777">
      <w:pPr>
        <w:pStyle w:val="ArticleL2"/>
        <w:keepNext w:val="0"/>
      </w:pPr>
      <w:bookmarkStart w:name="_Toc433953992" w:id="214"/>
      <w:bookmarkStart w:name="_Toc433954150" w:id="215"/>
      <w:bookmarkStart w:name="_Toc288027268" w:id="216"/>
      <w:r>
        <w:rPr>
          <w:u w:val="single"/>
        </w:rPr>
        <w:t>Billing Disputes</w:t>
      </w:r>
      <w:r>
        <w:rPr>
          <w:color w:val="000000"/>
        </w:rPr>
        <w:fldChar w:fldCharType="begin"/>
      </w:r>
      <w:r>
        <w:rPr>
          <w:color w:val="000000"/>
        </w:rPr>
        <w:instrText>tc "</w:instrText>
      </w:r>
      <w:bookmarkStart w:name="_Toc531859626" w:id="217"/>
      <w:bookmarkStart w:name="_Toc119238930" w:id="218"/>
      <w:r>
        <w:rPr>
          <w:color w:val="000000"/>
        </w:rPr>
        <w:instrText>9.3</w:instrText>
      </w:r>
      <w:r>
        <w:rPr>
          <w:color w:val="000000"/>
        </w:rPr>
        <w:tab/>
        <w:instrText>Billing Disputes</w:instrText>
      </w:r>
      <w:bookmarkEnd w:id="217"/>
      <w:bookmarkEnd w:id="218"/>
      <w:r>
        <w:rPr>
          <w:color w:val="000000"/>
        </w:rPr>
        <w:instrText>” \f C \l 2</w:instrText>
      </w:r>
      <w:r>
        <w:rPr>
          <w:color w:val="000000"/>
        </w:rPr>
        <w:fldChar w:fldCharType="end"/>
      </w:r>
      <w:r>
        <w:t xml:space="preserve">.  Either Party may dispute invoiced amounts pursuant to </w:t>
      </w:r>
      <w:r>
        <w:rPr>
          <w:u w:val="single"/>
        </w:rPr>
        <w:t xml:space="preserve">Section </w:t>
      </w:r>
      <w:proofErr w:type="gramStart"/>
      <w:r>
        <w:rPr>
          <w:u w:val="single"/>
        </w:rPr>
        <w:t>13.1</w:t>
      </w:r>
      <w:r>
        <w:t>, but</w:t>
      </w:r>
      <w:proofErr w:type="gramEnd"/>
      <w:r>
        <w:t xml:space="preserve"> shall pay to the other Party at least the portion of invoiced amounts that is not disputed, on or before the invoice due date.  When the billing dispute is resolved, the owing Party shall pay the amount owed within five (5) Business Days of the date of such resolution, with late payment interest charges calculated on the amount owed in accordance with </w:t>
      </w:r>
      <w:r>
        <w:rPr>
          <w:u w:val="single"/>
        </w:rPr>
        <w:t>Section 9.2(A)</w:t>
      </w:r>
      <w:r>
        <w:t>.</w:t>
      </w:r>
      <w:bookmarkEnd w:id="214"/>
      <w:bookmarkEnd w:id="215"/>
    </w:p>
    <w:p w:rsidR="0079779A" w:rsidRDefault="003E5439" w14:paraId="65FD0948" w14:textId="77777777">
      <w:pPr>
        <w:pStyle w:val="ArticleL1"/>
        <w:keepNext w:val="0"/>
      </w:pPr>
      <w:bookmarkStart w:name="_Toc288027270" w:id="219"/>
      <w:bookmarkStart w:name="_Toc433953993" w:id="220"/>
      <w:bookmarkStart w:name="_Toc433954151" w:id="221"/>
      <w:bookmarkEnd w:id="216"/>
      <w:r>
        <w:t>Operations and Maintenance</w:t>
      </w:r>
      <w:bookmarkEnd w:id="219"/>
      <w:bookmarkEnd w:id="220"/>
      <w:bookmarkEnd w:id="221"/>
      <w:r>
        <w:fldChar w:fldCharType="begin"/>
      </w:r>
      <w:r>
        <w:instrText>tc "</w:instrText>
      </w:r>
      <w:bookmarkStart w:name="_Toc531859627" w:id="222"/>
      <w:bookmarkStart w:name="_Toc119238931" w:id="223"/>
      <w:r>
        <w:instrText>Article 10 – Operations and Maintenance</w:instrText>
      </w:r>
      <w:bookmarkEnd w:id="222"/>
      <w:bookmarkEnd w:id="223"/>
      <w:r>
        <w:instrText>” \f C \l 1</w:instrText>
      </w:r>
      <w:r>
        <w:fldChar w:fldCharType="end"/>
      </w:r>
    </w:p>
    <w:p w:rsidR="0079779A" w:rsidRDefault="003E5439" w14:paraId="3759F56F" w14:textId="77777777">
      <w:pPr>
        <w:pStyle w:val="ArticleL2"/>
        <w:keepNext w:val="0"/>
      </w:pPr>
      <w:bookmarkStart w:name="_Toc433953994" w:id="224"/>
      <w:bookmarkStart w:name="_Toc433954152" w:id="225"/>
      <w:bookmarkStart w:name="_Toc288027271" w:id="226"/>
      <w:r>
        <w:rPr>
          <w:u w:val="single"/>
        </w:rPr>
        <w:t>Operation and Administration</w:t>
      </w:r>
      <w:r>
        <w:fldChar w:fldCharType="begin"/>
      </w:r>
      <w:r>
        <w:instrText>tc "</w:instrText>
      </w:r>
      <w:bookmarkStart w:name="_Toc531859628" w:id="227"/>
      <w:bookmarkStart w:name="_Toc119238932" w:id="228"/>
      <w:r>
        <w:instrText>10.1</w:instrText>
      </w:r>
      <w:r>
        <w:tab/>
        <w:instrText>Operation and Administration</w:instrText>
      </w:r>
      <w:bookmarkEnd w:id="227"/>
      <w:bookmarkEnd w:id="228"/>
      <w:r>
        <w:instrText>” \f C \l 2</w:instrText>
      </w:r>
      <w:r>
        <w:fldChar w:fldCharType="end"/>
      </w:r>
      <w:r>
        <w:t>.</w:t>
      </w:r>
      <w:bookmarkEnd w:id="224"/>
      <w:bookmarkEnd w:id="225"/>
      <w:r>
        <w:t xml:space="preserve">  </w:t>
      </w:r>
      <w:bookmarkEnd w:id="226"/>
    </w:p>
    <w:p w:rsidR="0079779A" w:rsidRDefault="003E5439" w14:paraId="11297AD8" w14:textId="77777777">
      <w:pPr>
        <w:pStyle w:val="ArticleL3"/>
        <w:keepNext w:val="0"/>
      </w:pPr>
      <w:r>
        <w:t xml:space="preserve">Seller shall staff, control, and operate the Facility consistent with Good Utility Practices, </w:t>
      </w:r>
      <w:r>
        <w:rPr>
          <w:u w:val="single"/>
        </w:rPr>
        <w:t>Exhibit I - AGC Protocols; Dispatch and Availability Notices; Data Collection; Technical Specifications</w:t>
      </w:r>
      <w:r>
        <w:t xml:space="preserve">, </w:t>
      </w:r>
      <w:r>
        <w:rPr>
          <w:u w:val="single"/>
        </w:rPr>
        <w:t>Exhibit O – Battery Storage System Operating Procedures</w:t>
      </w:r>
      <w:r>
        <w:t xml:space="preserve">, and this PPA.  Personnel of Seller shall be available 24x7 via telephone or other electronic means with (i) the capability of remotely starting, </w:t>
      </w:r>
      <w:proofErr w:type="gramStart"/>
      <w:r>
        <w:t>operating</w:t>
      </w:r>
      <w:proofErr w:type="gramEnd"/>
      <w:r>
        <w:t xml:space="preserve"> and stopping the Facility within </w:t>
      </w:r>
      <w:bookmarkStart w:name="_DV_M539" w:id="229"/>
      <w:bookmarkEnd w:id="229"/>
      <w:r>
        <w:t>ten (10) minutes, and (ii) the ability to be present at the Site within 30 minutes, subject to the Safety Requirements.</w:t>
      </w:r>
    </w:p>
    <w:p w:rsidR="0079779A" w:rsidRDefault="003E5439" w14:paraId="7F5A69EF" w14:textId="77777777">
      <w:pPr>
        <w:pStyle w:val="ArticleL3"/>
        <w:keepNext w:val="0"/>
      </w:pPr>
      <w:r>
        <w:t>Seller shall comply with Good Utility Practices, the requirements of all Governmental Authorities and all reasonable requirements of Company in the operation of the Facility. By way of example only, Seller shall perform all capacity testing of the Facility and related reporting, as and when required by Governmental Authorities.  Any such testing shall be deemed to be a Seller Initiated Test.</w:t>
      </w:r>
    </w:p>
    <w:p w:rsidR="0079779A" w:rsidRDefault="003E5439" w14:paraId="4A9F023D" w14:textId="77777777">
      <w:pPr>
        <w:pStyle w:val="ArticleL3"/>
        <w:keepNext w:val="0"/>
      </w:pPr>
      <w:r>
        <w:lastRenderedPageBreak/>
        <w:t xml:space="preserve">Seller shall provide to Company a day-ahead availability schedule in accordance with </w:t>
      </w:r>
      <w:r>
        <w:rPr>
          <w:u w:val="single"/>
        </w:rPr>
        <w:t>Exhibit I - AGC Protocols; Dispatch and Availability Notices; Data Collection; Technical Specifications</w:t>
      </w:r>
      <w:r>
        <w:t xml:space="preserve">, </w:t>
      </w:r>
      <w:r>
        <w:rPr>
          <w:u w:val="single"/>
        </w:rPr>
        <w:t>Exhibit O – Battery Storage System Operating Procedures</w:t>
      </w:r>
      <w:r>
        <w:t>, and any other reporting requirements required for compliance with NERC reliability standards.  Company shall forward Seller’s schedule to the applicable local reliability coordinator on Seller’s behalf,</w:t>
      </w:r>
      <w:r>
        <w:rPr>
          <w:i/>
        </w:rPr>
        <w:t xml:space="preserve"> provided, however, </w:t>
      </w:r>
      <w:r>
        <w:t>that Seller shall remain responsible to ensure the timeliness and accuracy of schedules and any changes to the real-time or schedule availability of the Facility.  If and to the extent that the ERO modifies the scheduling or other reporting requirements imposed on Company or the Facility, Seller shall timely provide required data to Company or the ERO, as applicable.</w:t>
      </w:r>
    </w:p>
    <w:p w:rsidR="0079779A" w:rsidRDefault="003E5439" w14:paraId="5125C749" w14:textId="77777777">
      <w:pPr>
        <w:pStyle w:val="ArticleL3"/>
        <w:keepNext w:val="0"/>
      </w:pPr>
      <w:r>
        <w:t>Seller shall, and shall cause its Affiliates and contractors to operate, and maintain the Facility and conduct all work or cause all work in connection therewith to be conducted in accordance with the Safety Requirements.  Seller shall, and shall cause its Affiliates and contractors to, take all actions to comply with the Safety Requirements.</w:t>
      </w:r>
    </w:p>
    <w:p w:rsidR="0079779A" w:rsidRDefault="003E5439" w14:paraId="315B0F4A" w14:textId="77777777">
      <w:pPr>
        <w:pStyle w:val="ArticleL2"/>
        <w:keepNext w:val="0"/>
      </w:pPr>
      <w:bookmarkStart w:name="_Toc433953995" w:id="230"/>
      <w:bookmarkStart w:name="_Toc433954153" w:id="231"/>
      <w:bookmarkStart w:name="_Toc288027272" w:id="232"/>
      <w:r>
        <w:rPr>
          <w:u w:val="single"/>
        </w:rPr>
        <w:t>Facility Maintenance</w:t>
      </w:r>
      <w:r>
        <w:fldChar w:fldCharType="begin"/>
      </w:r>
      <w:r>
        <w:instrText>tc "</w:instrText>
      </w:r>
      <w:bookmarkStart w:name="_Toc531859629" w:id="233"/>
      <w:bookmarkStart w:name="_Toc119238933" w:id="234"/>
      <w:r>
        <w:instrText>10.2</w:instrText>
      </w:r>
      <w:r>
        <w:tab/>
        <w:instrText>Facility Maintenance</w:instrText>
      </w:r>
      <w:bookmarkEnd w:id="233"/>
      <w:bookmarkEnd w:id="234"/>
      <w:r>
        <w:instrText>” \f C \l 2</w:instrText>
      </w:r>
      <w:r>
        <w:fldChar w:fldCharType="end"/>
      </w:r>
      <w:r>
        <w:t>.</w:t>
      </w:r>
      <w:bookmarkEnd w:id="230"/>
      <w:bookmarkEnd w:id="231"/>
      <w:r>
        <w:t xml:space="preserve">  </w:t>
      </w:r>
      <w:bookmarkEnd w:id="232"/>
    </w:p>
    <w:p w:rsidR="0079779A" w:rsidRDefault="003E5439" w14:paraId="0D666693" w14:textId="77777777">
      <w:pPr>
        <w:pStyle w:val="ArticleL3"/>
        <w:keepNext w:val="0"/>
      </w:pPr>
      <w:r>
        <w:t>Seller shall maintain the Facility in accordance with Good Utility Practice.  Seller shall coordinate its regular maintenance requirements for the Facility with Company (“</w:t>
      </w:r>
      <w:r>
        <w:rPr>
          <w:u w:val="single"/>
        </w:rPr>
        <w:t>Maintenance Schedules</w:t>
      </w:r>
      <w:r>
        <w:t>”).  Maintenance Schedules, including planned outages of the Facility (including any Battery Storage System Planned Outages), shall be provided to Company in writing and sufficiently in advance for Commercially Reasonable review, and shall be subject to Company’s Commercially Reasonable approval.  Seller shall coordinate with Company and the Transmission Authority on the timing and duration of planned outages.  Company has the right to not permit a planned outage if it conflicts with the requirement of the ERO or if the ERO rejects the planned outage request.</w:t>
      </w:r>
    </w:p>
    <w:p w:rsidR="0079779A" w:rsidRDefault="003E5439" w14:paraId="2C79BCF7" w14:textId="77777777">
      <w:pPr>
        <w:pStyle w:val="ArticleL3"/>
        <w:keepNext w:val="0"/>
      </w:pPr>
      <w:r>
        <w:t xml:space="preserve">Seller shall minimize the amount of scheduled maintenance during the months of January, February, June, July, August, </w:t>
      </w:r>
      <w:proofErr w:type="gramStart"/>
      <w:r>
        <w:t>September</w:t>
      </w:r>
      <w:proofErr w:type="gramEnd"/>
      <w:r>
        <w:t xml:space="preserve"> and December to the maximum extent consistent with Good Utility Practices.  Seller shall coordinate with Company and the Transmission Authority on the timing and duration of planned outages of the Facility (including any Battery Storage System Planned Outages).  </w:t>
      </w:r>
    </w:p>
    <w:p w:rsidR="0079779A" w:rsidRDefault="003E5439" w14:paraId="555325F9" w14:textId="77777777">
      <w:pPr>
        <w:pStyle w:val="ArticleL3"/>
        <w:keepNext w:val="0"/>
      </w:pPr>
      <w:r>
        <w:t>When Forced Outages occur, Seller shall notify EMCC of the existence, nature, start time, and expected duration of the Forced Outage as soon as practicable, but in no event later than thirty (30) minutes after the Forced Outage occurs.  Thereafter, Seller shall immediately inform EMCC of changes in the expected duration of the Forced Outage except to the extent relieved of this obligation by EMCC with respect thereto.</w:t>
      </w:r>
    </w:p>
    <w:p w:rsidR="0079779A" w:rsidRDefault="003E5439" w14:paraId="71E49DEA" w14:textId="77777777">
      <w:pPr>
        <w:pStyle w:val="ArticleL3"/>
        <w:rPr>
          <w:szCs w:val="24"/>
        </w:rPr>
      </w:pPr>
      <w:r>
        <w:t>Seller shall develop and provide Company with a copy of its Facility cold weather policy.  In the event of a Forced Outage or Facility derate, Seller shall conduct a root cause analysis, take corrective actions as are reasonable under the circumstances to prevent reoccurrences and provide a copy of such analyses and corrective action to Company.</w:t>
      </w:r>
    </w:p>
    <w:p w:rsidR="0079779A" w:rsidRDefault="003E5439" w14:paraId="6A8B1FC1" w14:textId="77777777">
      <w:pPr>
        <w:pStyle w:val="ArticleL2"/>
        <w:keepNext w:val="0"/>
      </w:pPr>
      <w:bookmarkStart w:name="_Toc288027273" w:id="235"/>
      <w:bookmarkStart w:name="_Toc433953996" w:id="236"/>
      <w:bookmarkStart w:name="_Toc433954154" w:id="237"/>
      <w:r>
        <w:rPr>
          <w:u w:val="single"/>
        </w:rPr>
        <w:t>Repair Obligations</w:t>
      </w:r>
      <w:r>
        <w:t xml:space="preserve">. </w:t>
      </w:r>
      <w:r>
        <w:fldChar w:fldCharType="begin"/>
      </w:r>
      <w:r>
        <w:instrText>tc "</w:instrText>
      </w:r>
      <w:bookmarkStart w:name="_Toc531859630" w:id="238"/>
      <w:bookmarkStart w:name="_Toc119238934" w:id="239"/>
      <w:r>
        <w:instrText>10.3</w:instrText>
      </w:r>
      <w:r>
        <w:tab/>
        <w:instrText>Repair Obligations</w:instrText>
      </w:r>
      <w:bookmarkEnd w:id="238"/>
      <w:bookmarkEnd w:id="239"/>
      <w:r>
        <w:instrText>” \f C \l 2</w:instrText>
      </w:r>
      <w:r>
        <w:fldChar w:fldCharType="end"/>
      </w:r>
    </w:p>
    <w:p w:rsidR="0079779A" w:rsidRDefault="003E5439" w14:paraId="764E11CA" w14:textId="77777777">
      <w:pPr>
        <w:pStyle w:val="ArticleL3"/>
        <w:keepNext w:val="0"/>
      </w:pPr>
      <w:r>
        <w:lastRenderedPageBreak/>
        <w:t xml:space="preserve">In the event that: </w:t>
      </w:r>
    </w:p>
    <w:p w:rsidR="0079779A" w:rsidRDefault="003E5439" w14:paraId="2C0D7B0E" w14:textId="77777777">
      <w:pPr>
        <w:pStyle w:val="ArticleL4"/>
        <w:keepNext w:val="0"/>
        <w:tabs>
          <w:tab w:val="num" w:pos="4090"/>
        </w:tabs>
      </w:pPr>
      <w:r>
        <w:t xml:space="preserve">an equipment failure (regardless of when such equipment failure occurs, but excluding any equipment failure for which a Successful Repair has already been demonstrated) with respect to the Battery Storage System results in the Battery Storage System failing the Test set forth in </w:t>
      </w:r>
      <w:r>
        <w:rPr>
          <w:u w:val="single"/>
        </w:rPr>
        <w:t>Exhibit M – Battery Storage System Testing Protocols</w:t>
      </w:r>
      <w:r>
        <w:t xml:space="preserve"> for Grid Charging Capability or being otherwise incapable of charging from the grid</w:t>
      </w:r>
      <w:r>
        <w:rPr>
          <w:color w:val="000000"/>
        </w:rPr>
        <w:t>, or results in (i) the Minimum Charging Time in excess of 115</w:t>
      </w:r>
      <w:r>
        <w:t xml:space="preserve">% of the Guaranteed </w:t>
      </w:r>
      <w:r>
        <w:rPr>
          <w:color w:val="000000"/>
        </w:rPr>
        <w:t xml:space="preserve">Minimum Charging Time, (ii) the </w:t>
      </w:r>
      <w:r>
        <w:t xml:space="preserve">Maximum Charging Rate less than 85% of the </w:t>
      </w:r>
      <w:r>
        <w:rPr>
          <w:color w:val="000000"/>
        </w:rPr>
        <w:t xml:space="preserve">Guaranteed </w:t>
      </w:r>
      <w:r>
        <w:t xml:space="preserve">Maximum Charging Rate, (iii) </w:t>
      </w:r>
      <w:r>
        <w:rPr>
          <w:color w:val="000000"/>
        </w:rPr>
        <w:t xml:space="preserve">the Minimum Discharging Time in excess of </w:t>
      </w:r>
      <w:r>
        <w:t xml:space="preserve">115% of the Guaranteed Minimum </w:t>
      </w:r>
      <w:r>
        <w:rPr>
          <w:color w:val="000000"/>
        </w:rPr>
        <w:t xml:space="preserve">Discharging Time, (iv) </w:t>
      </w:r>
      <w:r>
        <w:t xml:space="preserve">the Maximum Discharging Rate less than 85% of the </w:t>
      </w:r>
      <w:r>
        <w:rPr>
          <w:color w:val="000000"/>
        </w:rPr>
        <w:t xml:space="preserve">Guaranteed </w:t>
      </w:r>
      <w:r>
        <w:t xml:space="preserve">Maximum Discharging Rate, (v) </w:t>
      </w:r>
      <w:r>
        <w:rPr>
          <w:color w:val="000000"/>
        </w:rPr>
        <w:t xml:space="preserve">the Response Time in excess of </w:t>
      </w:r>
      <w:r>
        <w:t xml:space="preserve">115% of the Guaranteed </w:t>
      </w:r>
      <w:r>
        <w:rPr>
          <w:color w:val="000000"/>
        </w:rPr>
        <w:t xml:space="preserve">Response Time, </w:t>
      </w:r>
      <w:r>
        <w:t xml:space="preserve">or (vi) the Storage Capacity less than 85% of the Guaranteed Storage Capacity, respectively; </w:t>
      </w:r>
      <w:r>
        <w:rPr>
          <w:b/>
          <w:i/>
        </w:rPr>
        <w:t>bracketed material bid-specific – may be n/a</w:t>
      </w:r>
    </w:p>
    <w:p w:rsidR="0079779A" w:rsidRDefault="003E5439" w14:paraId="1C36878D" w14:textId="77777777">
      <w:pPr>
        <w:pStyle w:val="ArticleL4"/>
        <w:keepNext w:val="0"/>
        <w:tabs>
          <w:tab w:val="num" w:pos="4090"/>
        </w:tabs>
      </w:pPr>
      <w:r>
        <w:t xml:space="preserve">a Test demonstrates that any of the Performance Criteria do not meet the levels required to pass such Test in accordance with </w:t>
      </w:r>
      <w:r>
        <w:rPr>
          <w:u w:val="single"/>
        </w:rPr>
        <w:t xml:space="preserve">Exhibit M – Battery Storage System Testing </w:t>
      </w:r>
      <w:proofErr w:type="gramStart"/>
      <w:r>
        <w:rPr>
          <w:u w:val="single"/>
        </w:rPr>
        <w:t>Protocols</w:t>
      </w:r>
      <w:r>
        <w:t>;</w:t>
      </w:r>
      <w:proofErr w:type="gramEnd"/>
    </w:p>
    <w:p w:rsidR="0079779A" w:rsidRDefault="003E5439" w14:paraId="72FB004A" w14:textId="77777777">
      <w:pPr>
        <w:pStyle w:val="ArticleL4"/>
        <w:keepNext w:val="0"/>
        <w:numPr>
          <w:ilvl w:val="0"/>
          <w:numId w:val="0"/>
        </w:numPr>
        <w:tabs>
          <w:tab w:val="num" w:pos="630"/>
        </w:tabs>
      </w:pPr>
      <w:r>
        <w:tab/>
        <w:t xml:space="preserve">then Seller shall repair the Battery Storage System in accordance with Good Utility Practice and the procedure set forth in this </w:t>
      </w:r>
      <w:r>
        <w:rPr>
          <w:u w:val="single"/>
        </w:rPr>
        <w:t>Section 10.3</w:t>
      </w:r>
      <w:r>
        <w:t>.  Within fourteen (14) days of any such failure, Seller shall demonstrate such remedy to the reasonable satisfaction of Company (a “</w:t>
      </w:r>
      <w:r>
        <w:rPr>
          <w:u w:val="single"/>
        </w:rPr>
        <w:t>Successful Repair</w:t>
      </w:r>
      <w:r>
        <w:t>”) or present to Company a description of the reason for the failure and a plan and schedule for a Successful Repair (the “</w:t>
      </w:r>
      <w:r>
        <w:rPr>
          <w:u w:val="single"/>
        </w:rPr>
        <w:t>Repair Plan</w:t>
      </w:r>
      <w:r>
        <w:t xml:space="preserve">”).  </w:t>
      </w:r>
    </w:p>
    <w:p w:rsidR="0079779A" w:rsidRDefault="003E5439" w14:paraId="22470F72" w14:textId="77777777">
      <w:pPr>
        <w:pStyle w:val="ArticleL3"/>
        <w:keepNext w:val="0"/>
      </w:pPr>
      <w:bookmarkStart w:name="_Hlk536022682" w:id="240"/>
      <w:r>
        <w:t xml:space="preserve">If Company reasonably disagrees with Seller’s Repair Plan, Company may, at its expense, hire an Independent Engineer approved by Seller (such approval not to be unreasonably withheld) to perform an on-site assessment of the situation and make recommendations for completing a Successful Repair.  Upon two (2) Business Days’ notice by Company, Seller shall grant the Independent Engineer and Company personnel access to the Battery Storage System and all relevant information including </w:t>
      </w:r>
      <w:proofErr w:type="gramStart"/>
      <w:r>
        <w:t>log books</w:t>
      </w:r>
      <w:proofErr w:type="gramEnd"/>
      <w:r>
        <w:t xml:space="preserve">, maintenance records and reports, and other applicable materials.  If, after seven (7) days of the delivery to Seller of such engineering report, Seller fails, in any material respect to meet the recommendations set forth in such report (as such recommendations may be updated from time to time by the Independent Engineer) for the Successful Repair, or make sufficient progress in effecting same consistent with Good Utility Practice, in each case as determined and reported by the Independent Engineer, Seller shall be in breach of this </w:t>
      </w:r>
      <w:r>
        <w:rPr>
          <w:u w:val="single"/>
        </w:rPr>
        <w:t>Section 10.3</w:t>
      </w:r>
      <w:r>
        <w:t>.</w:t>
      </w:r>
      <w:bookmarkEnd w:id="240"/>
      <w:r>
        <w:t xml:space="preserve"> </w:t>
      </w:r>
    </w:p>
    <w:p w:rsidR="0079779A" w:rsidRDefault="003E5439" w14:paraId="1B2845EF" w14:textId="77777777">
      <w:pPr>
        <w:pStyle w:val="ArticleL2"/>
        <w:keepNext w:val="0"/>
      </w:pPr>
      <w:r>
        <w:rPr>
          <w:u w:val="single"/>
        </w:rPr>
        <w:t>Books and Records</w:t>
      </w:r>
      <w:r>
        <w:fldChar w:fldCharType="begin"/>
      </w:r>
      <w:r>
        <w:instrText>tc "</w:instrText>
      </w:r>
      <w:bookmarkStart w:name="_Toc531859632" w:id="241"/>
      <w:bookmarkStart w:name="_Toc119238935" w:id="242"/>
      <w:r>
        <w:instrText>10.4</w:instrText>
      </w:r>
      <w:r>
        <w:tab/>
        <w:instrText>Books and Records</w:instrText>
      </w:r>
      <w:bookmarkEnd w:id="241"/>
      <w:bookmarkEnd w:id="242"/>
      <w:r>
        <w:instrText>” \f C \l 2</w:instrText>
      </w:r>
      <w:r>
        <w:fldChar w:fldCharType="end"/>
      </w:r>
      <w:r>
        <w:t>.</w:t>
      </w:r>
      <w:bookmarkEnd w:id="235"/>
      <w:bookmarkEnd w:id="236"/>
      <w:bookmarkEnd w:id="237"/>
    </w:p>
    <w:p w:rsidR="0079779A" w:rsidRDefault="003E5439" w14:paraId="730F9A2B" w14:textId="77777777">
      <w:pPr>
        <w:pStyle w:val="ArticleL3"/>
        <w:keepNext w:val="0"/>
      </w:pPr>
      <w:r>
        <w:t>Seller shall maintain an accurate and up-to-date hourly operating log for the Facility, in electronic format, that identifies real-time operating information for the Battery Storage System, including levels of capacity availability; production for each clock hour; changes in operating status; Forced Outages; information required by Governmental Authorities in the prescribed format; and other information reasonably requested by Company.</w:t>
      </w:r>
    </w:p>
    <w:p w:rsidR="0079779A" w:rsidRDefault="003E5439" w14:paraId="389A543D" w14:textId="77777777">
      <w:pPr>
        <w:pStyle w:val="ArticleL3"/>
        <w:keepNext w:val="0"/>
      </w:pPr>
      <w:r>
        <w:lastRenderedPageBreak/>
        <w:t xml:space="preserve">Seller and Company shall each keep complete and accurate records and all other data required by each of them for the purposes of proper administration of this PPA, including metering, billing and payment records, and such records as may be required by Governmental Authorities.  Originals or copies of all Operating Records shall be maintained at the </w:t>
      </w:r>
      <w:proofErr w:type="gramStart"/>
      <w:r>
        <w:t>Site</w:t>
      </w:r>
      <w:proofErr w:type="gramEnd"/>
      <w:r>
        <w:t xml:space="preserve"> or such other Colorado location as may be specified by Seller from time to time.  Company may examine and make copies of such Operating Records from time to time upon request, during normal business hours. </w:t>
      </w:r>
    </w:p>
    <w:p w:rsidR="0079779A" w:rsidRDefault="003E5439" w14:paraId="139E824D" w14:textId="77777777">
      <w:pPr>
        <w:pStyle w:val="ArticleL2"/>
        <w:keepNext w:val="0"/>
      </w:pPr>
      <w:bookmarkStart w:name="_Toc288027275" w:id="243"/>
      <w:bookmarkStart w:name="_Toc433953997" w:id="244"/>
      <w:bookmarkStart w:name="_Toc433954155" w:id="245"/>
      <w:bookmarkStart w:name="_Toc288027274" w:id="246"/>
      <w:r>
        <w:rPr>
          <w:u w:val="single"/>
        </w:rPr>
        <w:t>Access to Facility</w:t>
      </w:r>
      <w:r>
        <w:rPr>
          <w:color w:val="000000"/>
        </w:rPr>
        <w:fldChar w:fldCharType="begin"/>
      </w:r>
      <w:r>
        <w:rPr>
          <w:color w:val="000000"/>
        </w:rPr>
        <w:instrText>tc "</w:instrText>
      </w:r>
      <w:bookmarkStart w:name="_Toc531859633" w:id="247"/>
      <w:bookmarkStart w:name="_Toc119238936" w:id="248"/>
      <w:r>
        <w:rPr>
          <w:color w:val="000000"/>
        </w:rPr>
        <w:instrText>10.5</w:instrText>
      </w:r>
      <w:r>
        <w:rPr>
          <w:color w:val="000000"/>
        </w:rPr>
        <w:tab/>
        <w:instrText>Access to Facility</w:instrText>
      </w:r>
      <w:bookmarkEnd w:id="247"/>
      <w:bookmarkEnd w:id="248"/>
      <w:r>
        <w:rPr>
          <w:color w:val="000000"/>
        </w:rPr>
        <w:instrText>” \f C \l 2</w:instrText>
      </w:r>
      <w:r>
        <w:rPr>
          <w:color w:val="000000"/>
        </w:rPr>
        <w:fldChar w:fldCharType="end"/>
      </w:r>
      <w:r>
        <w:t>.  Representatives of Company shall have access to the Facility from time to time, on Commercially Reasonable prior notice, to read meters, perform inspections and take such other actions as may be appropriate to facilitate Company’s performance of this PPA.  While at the Facility, such representatives shall observe Seller’s standard safety precautions and shall conduct themselves in a manner that will not interfere with operation of the Facility.</w:t>
      </w:r>
      <w:bookmarkEnd w:id="243"/>
      <w:bookmarkEnd w:id="244"/>
      <w:bookmarkEnd w:id="245"/>
    </w:p>
    <w:p w:rsidR="0079779A" w:rsidRDefault="003E5439" w14:paraId="42F98B28" w14:textId="77777777">
      <w:pPr>
        <w:pStyle w:val="ArticleL2"/>
        <w:keepNext w:val="0"/>
      </w:pPr>
      <w:bookmarkStart w:name="_Toc288027277" w:id="249"/>
      <w:bookmarkStart w:name="_Toc433953998" w:id="250"/>
      <w:bookmarkStart w:name="_Toc433954156" w:id="251"/>
      <w:r>
        <w:rPr>
          <w:u w:val="single"/>
        </w:rPr>
        <w:t>Real Time Data</w:t>
      </w:r>
      <w:r>
        <w:fldChar w:fldCharType="begin"/>
      </w:r>
      <w:r>
        <w:instrText>tc "</w:instrText>
      </w:r>
      <w:bookmarkStart w:name="_Toc531859634" w:id="252"/>
      <w:bookmarkStart w:name="_Toc119238937" w:id="253"/>
      <w:r>
        <w:instrText>10.6</w:instrText>
      </w:r>
      <w:r>
        <w:tab/>
        <w:instrText>Real Time Data</w:instrText>
      </w:r>
      <w:bookmarkEnd w:id="252"/>
      <w:bookmarkEnd w:id="253"/>
      <w:r>
        <w:instrText>” \f C \l 2</w:instrText>
      </w:r>
      <w:r>
        <w:fldChar w:fldCharType="end"/>
      </w:r>
      <w:r>
        <w:t>.</w:t>
      </w:r>
      <w:bookmarkEnd w:id="249"/>
      <w:bookmarkEnd w:id="250"/>
      <w:bookmarkEnd w:id="251"/>
    </w:p>
    <w:p w:rsidR="0079779A" w:rsidRDefault="003E5439" w14:paraId="7A5C466F" w14:textId="77777777">
      <w:pPr>
        <w:pStyle w:val="ArticleL3"/>
        <w:keepNext w:val="0"/>
      </w:pPr>
      <w:r>
        <w:t xml:space="preserve">Seller shall communicate all data necessary for Company to integrate the Facility into Company’s EMCC in real time through the Facility’s SCADA System in accordance with </w:t>
      </w:r>
      <w:r>
        <w:rPr>
          <w:u w:val="single"/>
        </w:rPr>
        <w:t>Exhibit I - AGC Protocols; Dispatch and Availability Notices; Data Collection; Technical Specifications</w:t>
      </w:r>
      <w:r>
        <w:t xml:space="preserve">, and subject to </w:t>
      </w:r>
      <w:r>
        <w:rPr>
          <w:u w:val="single"/>
        </w:rPr>
        <w:t>Exhibit O – Battery Storage System Operating Procedures</w:t>
      </w:r>
      <w:r>
        <w:t xml:space="preserve">.  Seller shall maintain the Facility’s SCADA System so that it is capable of interfacing with and reacting to Company’s AGC Set-Point and responding to signals from Company’s EMCC in accordance with the AGC Protocols, subject to </w:t>
      </w:r>
      <w:r>
        <w:rPr>
          <w:u w:val="single"/>
        </w:rPr>
        <w:t>Exhibit O – Battery Storage System Operating Procedures</w:t>
      </w:r>
      <w:r>
        <w:t xml:space="preserve">.  </w:t>
      </w:r>
    </w:p>
    <w:p w:rsidR="0079779A" w:rsidRDefault="003E5439" w14:paraId="41070669" w14:textId="77777777">
      <w:pPr>
        <w:pStyle w:val="ArticleL3"/>
        <w:keepNext w:val="0"/>
      </w:pPr>
      <w:r>
        <w:t xml:space="preserve">From and after the Commercial Operation Date, Seller shall provide Company, at Seller’s expense, real time performance data in accordance with </w:t>
      </w:r>
      <w:r>
        <w:rPr>
          <w:u w:val="single"/>
        </w:rPr>
        <w:t>Exhibit I - AGC Protocols; Dispatch and Availability Notices; Data Collection; Technical Specifications</w:t>
      </w:r>
      <w:r>
        <w:t xml:space="preserve"> for the Term of this PPA.  Seller shall maintain Seller-owned data collection systems that are compatible with Company’s PI System.  Seller shall ensure that real time communications capabilities are available and maintained for transmission to Company’s PI System. Company shall have the right to disclose data gathered through Company’s PI System publicly; </w:t>
      </w:r>
      <w:r>
        <w:rPr>
          <w:i/>
        </w:rPr>
        <w:t xml:space="preserve">provided, however, </w:t>
      </w:r>
      <w:r>
        <w:t xml:space="preserve">that such data is (i) masked to obscure the origin of the data and (ii) aggregated so that the data cannot be correlated and used by competitors of Seller, except as otherwise provided in </w:t>
      </w:r>
      <w:r>
        <w:rPr>
          <w:u w:val="single"/>
        </w:rPr>
        <w:t>Section 20.18</w:t>
      </w:r>
      <w:r>
        <w:t xml:space="preserve">.   </w:t>
      </w:r>
    </w:p>
    <w:p w:rsidR="0079779A" w:rsidRDefault="003E5439" w14:paraId="458DCE2C" w14:textId="77777777">
      <w:pPr>
        <w:pStyle w:val="ArticleL2"/>
        <w:keepNext w:val="0"/>
      </w:pPr>
      <w:bookmarkStart w:name="_Toc433953999" w:id="254"/>
      <w:bookmarkStart w:name="_Toc433954157" w:id="255"/>
      <w:r>
        <w:rPr>
          <w:u w:val="single"/>
        </w:rPr>
        <w:t>Accreditation</w:t>
      </w:r>
      <w:r>
        <w:rPr>
          <w:color w:val="000000"/>
        </w:rPr>
        <w:fldChar w:fldCharType="begin"/>
      </w:r>
      <w:r>
        <w:rPr>
          <w:color w:val="000000"/>
        </w:rPr>
        <w:instrText>tc "</w:instrText>
      </w:r>
      <w:bookmarkStart w:name="_Toc445978085" w:id="256"/>
      <w:bookmarkStart w:name="_Toc531859635" w:id="257"/>
      <w:bookmarkStart w:name="_Toc119238938" w:id="258"/>
      <w:r>
        <w:rPr>
          <w:color w:val="000000"/>
        </w:rPr>
        <w:instrText>10.7</w:instrText>
      </w:r>
      <w:r>
        <w:rPr>
          <w:color w:val="000000"/>
        </w:rPr>
        <w:tab/>
        <w:instrText>Accreditation</w:instrText>
      </w:r>
      <w:bookmarkEnd w:id="256"/>
      <w:bookmarkEnd w:id="257"/>
      <w:bookmarkEnd w:id="258"/>
      <w:r>
        <w:rPr>
          <w:color w:val="000000"/>
        </w:rPr>
        <w:instrText>” \f C \l 2</w:instrText>
      </w:r>
      <w:r>
        <w:rPr>
          <w:color w:val="000000"/>
        </w:rPr>
        <w:fldChar w:fldCharType="end"/>
      </w:r>
      <w:r>
        <w:t>. Seller shall perform from time to time, at its expense, any reporting and testing (including capacity testing) of the Facility required by Governmental Authorities.</w:t>
      </w:r>
    </w:p>
    <w:p w:rsidR="0079779A" w:rsidRDefault="003E5439" w14:paraId="6C2B5AA1" w14:textId="77777777">
      <w:pPr>
        <w:pStyle w:val="ArticleL2"/>
        <w:keepNext w:val="0"/>
      </w:pPr>
      <w:r>
        <w:rPr>
          <w:u w:val="single"/>
        </w:rPr>
        <w:t>Operating Committee and Operating Procedures</w:t>
      </w:r>
      <w:r>
        <w:fldChar w:fldCharType="begin"/>
      </w:r>
      <w:r>
        <w:instrText>tc "</w:instrText>
      </w:r>
      <w:bookmarkStart w:name="_Toc531859636" w:id="259"/>
      <w:bookmarkStart w:name="_Toc119238939" w:id="260"/>
      <w:r>
        <w:instrText>10.8</w:instrText>
      </w:r>
      <w:r>
        <w:tab/>
        <w:instrText>Operating Committee and Operating Procedures</w:instrText>
      </w:r>
      <w:bookmarkEnd w:id="259"/>
      <w:bookmarkEnd w:id="260"/>
      <w:r>
        <w:instrText>” \f C \l 2</w:instrText>
      </w:r>
      <w:r>
        <w:fldChar w:fldCharType="end"/>
      </w:r>
      <w:r>
        <w:t>.</w:t>
      </w:r>
      <w:bookmarkEnd w:id="246"/>
      <w:bookmarkEnd w:id="254"/>
      <w:bookmarkEnd w:id="255"/>
    </w:p>
    <w:p w:rsidR="0079779A" w:rsidRDefault="003E5439" w14:paraId="5640BADD" w14:textId="77777777">
      <w:pPr>
        <w:pStyle w:val="ArticleL3"/>
        <w:keepNext w:val="0"/>
      </w:pPr>
      <w:r>
        <w:t xml:space="preserve">Company and Seller shall each appoint one representative and one alternate representative to act as the Operating Committee in matters relating to the Parties’ performance obligations under this PPA and to develop operating arrangements for the charging, discharging, delivery, dispatch, and receipt of Energy from the Facility.  The Parties’ initial representatives on the Operating Committee are set forth in </w:t>
      </w:r>
      <w:r>
        <w:rPr>
          <w:u w:val="single"/>
        </w:rPr>
        <w:t>Exhibit D – Notices</w:t>
      </w:r>
      <w:r>
        <w:t xml:space="preserve">.  </w:t>
      </w:r>
    </w:p>
    <w:p w:rsidR="0079779A" w:rsidRDefault="003E5439" w14:paraId="0C4D8B2D" w14:textId="77777777">
      <w:pPr>
        <w:pStyle w:val="ArticleL3"/>
        <w:keepNext w:val="0"/>
      </w:pPr>
      <w:r>
        <w:lastRenderedPageBreak/>
        <w:t xml:space="preserve">The Operating Committee will finalize mutually agreeable written Battery Storage System Operating Procedures for the Battery Storage System that are consistent with the requirements of this PPA, including Section 5.2 and Exhibit O – Battery Storage System Operating Procedures in order to address administrative matters such as: day-to-day communications; key personnel; operations-center interface; metering, telemetering, telecommunications, and data acquisition procedures; operations and maintenance scheduling and reporting; reports; operations log; testing procedures; and such other matters as may be mutually agreed upon by the Operating Committee.  For the avoidance of doubt, Company (or its representative on the Operating Committee) shall have no obligation to agree to operational limitations except for those set forth in Part I of Exhibit O – Battery Storage System Operating Procedures.  </w:t>
      </w:r>
    </w:p>
    <w:p w:rsidR="0079779A" w:rsidRDefault="003E5439" w14:paraId="15E0FD7D" w14:textId="77777777">
      <w:pPr>
        <w:pStyle w:val="ArticleL3"/>
        <w:keepNext w:val="0"/>
      </w:pPr>
      <w:r>
        <w:t xml:space="preserve">The Operating Committee shall review the requirements for AGC and data collection from time to time after the date hereof and may agree on modifications thereto to the extent necessary or convenient for operation of the Facility in accordance with this PPA.  </w:t>
      </w:r>
    </w:p>
    <w:p w:rsidR="0079779A" w:rsidRDefault="003E5439" w14:paraId="73696A77" w14:textId="77777777">
      <w:pPr>
        <w:pStyle w:val="ArticleL3"/>
        <w:keepNext w:val="0"/>
      </w:pPr>
      <w:r>
        <w:t>The Operating Committee shall have authority to act in all technical and day-to-day operational matters relating to performance of this PPA and to attempt to resolve potential disputes, provided, however, that except as explicitly provided herein, the Operating Committee shall have no authority to amend or waive any provision of this PPA, including any provision included within Exhibit O – Battery Storage System Operating Procedures.</w:t>
      </w:r>
    </w:p>
    <w:p w:rsidR="0079779A" w:rsidRDefault="003E5439" w14:paraId="2E265111" w14:textId="77777777">
      <w:pPr>
        <w:pStyle w:val="ArticleL1"/>
        <w:keepNext w:val="0"/>
      </w:pPr>
      <w:bookmarkStart w:name="_Toc288027278" w:id="261"/>
      <w:bookmarkStart w:name="_Toc433954000" w:id="262"/>
      <w:bookmarkStart w:name="_Toc433954158" w:id="263"/>
      <w:r>
        <w:t>Security for Performance</w:t>
      </w:r>
      <w:bookmarkEnd w:id="261"/>
      <w:bookmarkEnd w:id="262"/>
      <w:bookmarkEnd w:id="263"/>
      <w:r>
        <w:fldChar w:fldCharType="begin"/>
      </w:r>
      <w:r>
        <w:instrText>tc "</w:instrText>
      </w:r>
      <w:bookmarkStart w:name="_Toc531859638" w:id="264"/>
      <w:bookmarkStart w:name="_Toc119238940" w:id="265"/>
      <w:r>
        <w:instrText>Article 11 – Security for Performance</w:instrText>
      </w:r>
      <w:bookmarkEnd w:id="264"/>
      <w:bookmarkEnd w:id="265"/>
      <w:r>
        <w:instrText>” \f C \l 1</w:instrText>
      </w:r>
      <w:r>
        <w:fldChar w:fldCharType="end"/>
      </w:r>
    </w:p>
    <w:p w:rsidR="0079779A" w:rsidRDefault="003E5439" w14:paraId="0F00BA24" w14:textId="77777777">
      <w:pPr>
        <w:pStyle w:val="ArticleL2"/>
        <w:keepNext w:val="0"/>
      </w:pPr>
      <w:bookmarkStart w:name="_Toc288027279" w:id="266"/>
      <w:bookmarkStart w:name="_Toc433954001" w:id="267"/>
      <w:bookmarkStart w:name="_Toc433954159" w:id="268"/>
      <w:r>
        <w:rPr>
          <w:u w:val="single"/>
        </w:rPr>
        <w:t>Security Fund</w:t>
      </w:r>
      <w:r>
        <w:fldChar w:fldCharType="begin"/>
      </w:r>
      <w:r>
        <w:instrText>tc "</w:instrText>
      </w:r>
      <w:bookmarkStart w:name="_Toc531859639" w:id="269"/>
      <w:bookmarkStart w:name="_Toc119238941" w:id="270"/>
      <w:r>
        <w:instrText>11.1</w:instrText>
      </w:r>
      <w:r>
        <w:tab/>
        <w:instrText>Security Fund</w:instrText>
      </w:r>
      <w:bookmarkEnd w:id="269"/>
      <w:bookmarkEnd w:id="270"/>
      <w:r>
        <w:instrText>” \f C \l 2</w:instrText>
      </w:r>
      <w:r>
        <w:fldChar w:fldCharType="end"/>
      </w:r>
      <w:r>
        <w:t>.</w:t>
      </w:r>
      <w:bookmarkEnd w:id="266"/>
      <w:bookmarkEnd w:id="267"/>
      <w:bookmarkEnd w:id="268"/>
    </w:p>
    <w:p w:rsidR="0079779A" w:rsidRDefault="003E5439" w14:paraId="29F1BD10" w14:textId="77777777">
      <w:pPr>
        <w:pStyle w:val="ArticleL3"/>
        <w:keepNext w:val="0"/>
      </w:pPr>
      <w:r>
        <w:t>During the Term of this PPA, Seller shall fund and maintain security in favor of Company, at Seller’s expense, to secure Seller’s obligations to Company under this PPA (the “</w:t>
      </w:r>
      <w:r>
        <w:rPr>
          <w:u w:val="single"/>
        </w:rPr>
        <w:t>Security Fund</w:t>
      </w:r>
      <w:r>
        <w:t xml:space="preserve">”), in accordance with this </w:t>
      </w:r>
      <w:r>
        <w:rPr>
          <w:u w:val="single"/>
        </w:rPr>
        <w:t>Article 11</w:t>
      </w:r>
      <w:r>
        <w:t xml:space="preserve">.  </w:t>
      </w:r>
    </w:p>
    <w:p w:rsidR="0079779A" w:rsidRDefault="003E5439" w14:paraId="39EEDB51" w14:textId="77777777">
      <w:pPr>
        <w:pStyle w:val="ArticleL3"/>
        <w:keepNext w:val="0"/>
      </w:pPr>
      <w:r>
        <w:t xml:space="preserve">Seller shall establish and fund the Security Fund in the amount of </w:t>
      </w:r>
      <w:r>
        <w:rPr>
          <w:i/>
        </w:rPr>
        <w:t>[</w:t>
      </w:r>
      <w:r>
        <w:rPr>
          <w:i/>
          <w:highlight w:val="yellow"/>
        </w:rPr>
        <w:t>insert $[125]/kW x Battery Storage System Nameplate Capacity kW</w:t>
      </w:r>
      <w:r>
        <w:rPr>
          <w:i/>
        </w:rPr>
        <w:t>]</w:t>
      </w:r>
      <w:r>
        <w:t xml:space="preserve">, no later than 30 Days following the date of the execution of this PPA.  Within 5 Business Days following COD, the amount of the Security Fund shall be reduced to </w:t>
      </w:r>
      <w:r>
        <w:rPr>
          <w:i/>
        </w:rPr>
        <w:t>[</w:t>
      </w:r>
      <w:r>
        <w:rPr>
          <w:i/>
          <w:highlight w:val="yellow"/>
        </w:rPr>
        <w:t>insert $[75]/kW x Battery Storage System Nameplate Capacity kW</w:t>
      </w:r>
      <w:r>
        <w:rPr>
          <w:i/>
        </w:rPr>
        <w:t>]</w:t>
      </w:r>
      <w:r>
        <w:t xml:space="preserve">. </w:t>
      </w:r>
    </w:p>
    <w:p w:rsidR="0079779A" w:rsidRDefault="003E5439" w14:paraId="1B60775D" w14:textId="77777777">
      <w:pPr>
        <w:pStyle w:val="ArticleL3"/>
        <w:keepNext w:val="0"/>
      </w:pPr>
      <w:r>
        <w:t xml:space="preserve">Without notice to Seller, Company may draw from the Security Fund such amounts as are necessary to recover amounts owing to Company pursuant to this PPA, including any Liquidated Delay Damages, Actual Damages, liquidated damages for failure to achieve COD, and any amounts for which Company is entitled to indemnification under this PPA.  Company may, in its sole discretion, draw all or any part of such amounts from any form of security to the extent available pursuant to this </w:t>
      </w:r>
      <w:r>
        <w:rPr>
          <w:u w:val="single"/>
        </w:rPr>
        <w:t>Article 11</w:t>
      </w:r>
      <w:r>
        <w:t xml:space="preserve"> and in any sequence Company may select.  Company’s failure or delay to draw any amount from the Security Fund in any instance shall not prejudice Company’s rights to subsequently recover such amount from the Security Fund or in any other manner.   </w:t>
      </w:r>
    </w:p>
    <w:p w:rsidR="0079779A" w:rsidRDefault="003E5439" w14:paraId="5ECFE275" w14:textId="77777777">
      <w:pPr>
        <w:pStyle w:val="ArticleL3"/>
        <w:keepNext w:val="0"/>
      </w:pPr>
      <w:r>
        <w:lastRenderedPageBreak/>
        <w:t xml:space="preserve">Company shall notify Seller within five (5) Business Days following any draw on the Security Fund by Company, including the amount thereof and the basis therefor. </w:t>
      </w:r>
    </w:p>
    <w:p w:rsidR="0079779A" w:rsidRDefault="003E5439" w14:paraId="682F7AC4" w14:textId="77777777">
      <w:pPr>
        <w:pStyle w:val="ArticleL2"/>
        <w:keepNext w:val="0"/>
      </w:pPr>
      <w:bookmarkStart w:name="_Toc433954002" w:id="271"/>
      <w:bookmarkStart w:name="_Toc433954160" w:id="272"/>
      <w:r>
        <w:rPr>
          <w:u w:val="single"/>
        </w:rPr>
        <w:t>Replenishment</w:t>
      </w:r>
      <w:r>
        <w:rPr>
          <w:color w:val="000000"/>
        </w:rPr>
        <w:fldChar w:fldCharType="begin"/>
      </w:r>
      <w:r>
        <w:rPr>
          <w:color w:val="000000"/>
        </w:rPr>
        <w:instrText>tc "</w:instrText>
      </w:r>
      <w:bookmarkStart w:name="_Toc531859640" w:id="273"/>
      <w:bookmarkStart w:name="_Toc119238942" w:id="274"/>
      <w:r>
        <w:rPr>
          <w:color w:val="000000"/>
        </w:rPr>
        <w:instrText>11.2</w:instrText>
      </w:r>
      <w:r>
        <w:rPr>
          <w:color w:val="000000"/>
        </w:rPr>
        <w:tab/>
        <w:instrText>Replenishment</w:instrText>
      </w:r>
      <w:bookmarkEnd w:id="273"/>
      <w:bookmarkEnd w:id="274"/>
      <w:r>
        <w:rPr>
          <w:color w:val="000000"/>
        </w:rPr>
        <w:instrText>” \f C \l 2</w:instrText>
      </w:r>
      <w:r>
        <w:rPr>
          <w:color w:val="000000"/>
        </w:rPr>
        <w:fldChar w:fldCharType="end"/>
      </w:r>
      <w:r>
        <w:t>.</w:t>
      </w:r>
      <w:bookmarkEnd w:id="271"/>
      <w:bookmarkEnd w:id="272"/>
      <w:r>
        <w:t xml:space="preserve">  Seller shall replenish the Security Fund to the applicable levels set forth in Section 11.1(B) within fifteen (15) Business Days after Company makes a draw on the Security Fund; </w:t>
      </w:r>
      <w:r>
        <w:rPr>
          <w:i/>
        </w:rPr>
        <w:t>provided,</w:t>
      </w:r>
      <w:r>
        <w:t xml:space="preserve"> such replenishment shall not exceed the amount remaining under the applicable Damage Cap (as provided in </w:t>
      </w:r>
      <w:r>
        <w:rPr>
          <w:u w:val="single"/>
        </w:rPr>
        <w:t>Section 12.4(A)</w:t>
      </w:r>
      <w:r>
        <w:t xml:space="preserve">).  Notwithstanding the foregoing, within fifteen (15) Business Days after Company makes a draw on the Security Fund associated with the damages described in </w:t>
      </w:r>
      <w:r>
        <w:rPr>
          <w:u w:val="single"/>
        </w:rPr>
        <w:t>Section 12.4(B)</w:t>
      </w:r>
      <w:r>
        <w:t>, Seller shall replenish all amounts drawn from the Security Fund.</w:t>
      </w:r>
    </w:p>
    <w:p w:rsidR="0079779A" w:rsidRDefault="003E5439" w14:paraId="0085B05C" w14:textId="77777777">
      <w:pPr>
        <w:pStyle w:val="ArticleL2"/>
        <w:keepNext w:val="0"/>
      </w:pPr>
      <w:bookmarkStart w:name="_Toc433954003" w:id="275"/>
      <w:bookmarkStart w:name="_Toc433954161" w:id="276"/>
      <w:r>
        <w:rPr>
          <w:u w:val="single"/>
        </w:rPr>
        <w:t>Form</w:t>
      </w:r>
      <w:r>
        <w:fldChar w:fldCharType="begin"/>
      </w:r>
      <w:r>
        <w:instrText>tc "</w:instrText>
      </w:r>
      <w:bookmarkStart w:name="_Toc531859641" w:id="277"/>
      <w:bookmarkStart w:name="_Toc119238943" w:id="278"/>
      <w:r>
        <w:instrText>11.3</w:instrText>
      </w:r>
      <w:r>
        <w:tab/>
        <w:instrText>Form</w:instrText>
      </w:r>
      <w:bookmarkEnd w:id="277"/>
      <w:bookmarkEnd w:id="278"/>
      <w:r>
        <w:instrText>” \f C \l 2</w:instrText>
      </w:r>
      <w:r>
        <w:fldChar w:fldCharType="end"/>
      </w:r>
      <w:r>
        <w:t>.</w:t>
      </w:r>
      <w:bookmarkEnd w:id="275"/>
      <w:bookmarkEnd w:id="276"/>
      <w:r>
        <w:t xml:space="preserve">  </w:t>
      </w:r>
    </w:p>
    <w:p w:rsidR="0079779A" w:rsidRDefault="003E5439" w14:paraId="23CB7644" w14:textId="77777777">
      <w:pPr>
        <w:pStyle w:val="ArticleL3"/>
        <w:keepNext w:val="0"/>
      </w:pPr>
      <w:r>
        <w:fldChar w:fldCharType="begin"/>
      </w:r>
      <w:r>
        <w:instrText xml:space="preserve"> TC </w:instrText>
      </w:r>
      <w:r>
        <w:fldChar w:fldCharType="end"/>
      </w:r>
      <w:r>
        <w:t xml:space="preserve">The Security Fund may be in the form of an irrevocable standby letter of credit substantially in the form of </w:t>
      </w:r>
      <w:r>
        <w:rPr>
          <w:u w:val="single"/>
        </w:rPr>
        <w:t>Exhibit G – Form of Letter of Credit</w:t>
      </w:r>
      <w:r>
        <w:t xml:space="preserve"> (a “</w:t>
      </w:r>
      <w:r>
        <w:rPr>
          <w:u w:val="single"/>
        </w:rPr>
        <w:t>Letter of Credit</w:t>
      </w:r>
      <w:r>
        <w:t>”) from a financial institution acceptable to Company (“</w:t>
      </w:r>
      <w:r>
        <w:rPr>
          <w:u w:val="single"/>
        </w:rPr>
        <w:t>Issuer</w:t>
      </w:r>
      <w:r>
        <w:t xml:space="preserve">”). </w:t>
      </w:r>
    </w:p>
    <w:p w:rsidR="0079779A" w:rsidRDefault="003E5439" w14:paraId="4F84D510" w14:textId="77777777">
      <w:pPr>
        <w:pStyle w:val="ArticleL4"/>
        <w:keepNext w:val="0"/>
      </w:pPr>
      <w:r>
        <w:fldChar w:fldCharType="begin"/>
      </w:r>
      <w:r>
        <w:instrText xml:space="preserve"> TC </w:instrText>
      </w:r>
      <w:r>
        <w:fldChar w:fldCharType="end"/>
      </w:r>
      <w:r>
        <w:t xml:space="preserve">The Issuer of the Letter of Credit shall have and maintain a Credit Rating equivalent to A- (or better) by Standard &amp; </w:t>
      </w:r>
      <w:proofErr w:type="spellStart"/>
      <w:r>
        <w:t>Poors</w:t>
      </w:r>
      <w:proofErr w:type="spellEnd"/>
      <w:r>
        <w:t xml:space="preserve"> and A3 (or better) from </w:t>
      </w:r>
      <w:proofErr w:type="spellStart"/>
      <w:r>
        <w:t>Moodys</w:t>
      </w:r>
      <w:proofErr w:type="spellEnd"/>
      <w:r>
        <w:t xml:space="preserve">.  If such Credit Rating is A- or A3, the Issuer must not be on credit watch by any rating agency. </w:t>
      </w:r>
    </w:p>
    <w:p w:rsidR="0079779A" w:rsidRDefault="003E5439" w14:paraId="35EE9B4C" w14:textId="77777777">
      <w:pPr>
        <w:pStyle w:val="ArticleL4"/>
        <w:keepNext w:val="0"/>
      </w:pPr>
      <w:r>
        <w:fldChar w:fldCharType="begin"/>
      </w:r>
      <w:r>
        <w:instrText xml:space="preserve"> TC </w:instrText>
      </w:r>
      <w:r>
        <w:fldChar w:fldCharType="end"/>
      </w:r>
      <w:r>
        <w:t xml:space="preserve">The Letter of Credit must be for a minimum term of three hundred sixty (360) Days.  Seller shall give Company at least thirty (30) Days advance notice prior to any expiration or earlier termination of the Letter of Credit.  Seller shall cause the renewal or extension of the Letter of Credit for additional consecutive terms of three hundred sixty (360) Days or more (or, if shorter, the remainder of the Term) more than thirty (30) Days prior to each expiration date of the security.  If the Letter of Credit is not renewed or extended at least thirty (30) Days prior to its expiration date or otherwise is terminated early, Company shall have the right to draw immediately upon the Letter of Credit and to place the amounts so drawn, at Seller’s cost and with Seller’s funds, in an Escrow Account in accordance with paragraph (B) below, until and unless Seller provides a substitute form of security meeting the requirements of this </w:t>
      </w:r>
      <w:r>
        <w:rPr>
          <w:u w:val="single"/>
        </w:rPr>
        <w:t>Section 11.3</w:t>
      </w:r>
      <w:r>
        <w:t xml:space="preserve">. </w:t>
      </w:r>
    </w:p>
    <w:p w:rsidR="0079779A" w:rsidRDefault="003E5439" w14:paraId="1DC8718D" w14:textId="77777777">
      <w:pPr>
        <w:pStyle w:val="ArticleL3"/>
        <w:keepNext w:val="0"/>
      </w:pPr>
      <w:r>
        <w:fldChar w:fldCharType="begin"/>
      </w:r>
      <w:r>
        <w:instrText xml:space="preserve"> TC </w:instrText>
      </w:r>
      <w:r>
        <w:fldChar w:fldCharType="end"/>
      </w:r>
      <w:r>
        <w:t>The Security Fund may be in the form of U.S. currency deposited into an escrow account with a state- or federally-chartered commercial bank with an office in the State of Colorado, with net assets of at least $1 billion (the “</w:t>
      </w:r>
      <w:r>
        <w:rPr>
          <w:u w:val="single"/>
        </w:rPr>
        <w:t>Escrow Account</w:t>
      </w:r>
      <w:r>
        <w:t xml:space="preserve">”).  </w:t>
      </w:r>
    </w:p>
    <w:p w:rsidR="0079779A" w:rsidRDefault="003E5439" w14:paraId="2DB8F7E1" w14:textId="77777777">
      <w:pPr>
        <w:pStyle w:val="ArticleL4"/>
        <w:keepNext w:val="0"/>
      </w:pPr>
      <w:r>
        <w:t>The Escrow Account shall be governed by an escrow and account control agreement in form mutually satisfactory to Seller, Company and the escrow agent, provided that (a) Company shall hold a first and exclusive perfected security interest in the funds in the Escrow Account, (b) Company shall be permitted unilaterally to draw down any amount therein, regardless of any protest by Seller or any other party liable thereon (</w:t>
      </w:r>
      <w:r>
        <w:rPr>
          <w:i/>
          <w:iCs/>
        </w:rPr>
        <w:t>provided</w:t>
      </w:r>
      <w:r>
        <w:t xml:space="preserve"> that nothing in the escrow agreement shall preclude any protest against Company by Seller, following any draw, that such draw did not comply with this PPA), and (c) Seller shall pay all fees and expenses of the escrow agent.  </w:t>
      </w:r>
    </w:p>
    <w:p w:rsidR="0079779A" w:rsidRDefault="003E5439" w14:paraId="2C0A3B6C" w14:textId="77777777">
      <w:pPr>
        <w:pStyle w:val="ArticleL4"/>
        <w:keepNext w:val="0"/>
      </w:pPr>
      <w:r>
        <w:t>Funds held in the Escrow Account may be invested as Seller may direct in any of the following:</w:t>
      </w:r>
    </w:p>
    <w:p w:rsidR="0079779A" w:rsidRDefault="003E5439" w14:paraId="1F96590E" w14:textId="77777777">
      <w:pPr>
        <w:pStyle w:val="ArticleL4"/>
        <w:keepNext w:val="0"/>
        <w:numPr>
          <w:ilvl w:val="0"/>
          <w:numId w:val="38"/>
        </w:numPr>
      </w:pPr>
      <w:r>
        <w:lastRenderedPageBreak/>
        <w:t xml:space="preserve">a money-market fund sponsored by the escrow </w:t>
      </w:r>
      <w:proofErr w:type="gramStart"/>
      <w:r>
        <w:t>agent;</w:t>
      </w:r>
      <w:proofErr w:type="gramEnd"/>
      <w:r>
        <w:t xml:space="preserve"> </w:t>
      </w:r>
    </w:p>
    <w:p w:rsidR="0079779A" w:rsidRDefault="003E5439" w14:paraId="65E3381D" w14:textId="77777777">
      <w:pPr>
        <w:pStyle w:val="ArticleL4"/>
        <w:keepNext w:val="0"/>
        <w:numPr>
          <w:ilvl w:val="0"/>
          <w:numId w:val="38"/>
        </w:numPr>
      </w:pPr>
      <w:r>
        <w:t xml:space="preserve">U.S. treasury obligations with a maturity of ninety (90) Days or </w:t>
      </w:r>
      <w:proofErr w:type="gramStart"/>
      <w:r>
        <w:t>less;</w:t>
      </w:r>
      <w:proofErr w:type="gramEnd"/>
    </w:p>
    <w:p w:rsidR="0079779A" w:rsidRDefault="003E5439" w14:paraId="58EC9C0E" w14:textId="77777777">
      <w:pPr>
        <w:pStyle w:val="ArticleL4"/>
        <w:keepNext w:val="0"/>
        <w:numPr>
          <w:ilvl w:val="0"/>
          <w:numId w:val="38"/>
        </w:numPr>
      </w:pPr>
      <w:r>
        <w:t xml:space="preserve">commercial paper rated “A” or better, with a maturity of ninety (90) Days or </w:t>
      </w:r>
      <w:proofErr w:type="gramStart"/>
      <w:r>
        <w:t>less;  and</w:t>
      </w:r>
      <w:proofErr w:type="gramEnd"/>
    </w:p>
    <w:p w:rsidR="0079779A" w:rsidRDefault="003E5439" w14:paraId="082BB808" w14:textId="77777777">
      <w:pPr>
        <w:pStyle w:val="ArticleL4"/>
        <w:keepNext w:val="0"/>
        <w:numPr>
          <w:ilvl w:val="0"/>
          <w:numId w:val="38"/>
        </w:numPr>
      </w:pPr>
      <w:r>
        <w:t>other liquid investment-grade investments with maturities of three months or less, approved by Company in advance (such approval not to be unreasonably withheld or delayed).</w:t>
      </w:r>
    </w:p>
    <w:p w:rsidR="0079779A" w:rsidRDefault="003E5439" w14:paraId="103FB073" w14:textId="77777777">
      <w:pPr>
        <w:pStyle w:val="ArticleL4"/>
        <w:keepNext w:val="0"/>
      </w:pPr>
      <w:r>
        <w:t>All investment income on the Escrow Account shall be taxable to, and accrue for the benefit of, Seller.  After the Commercial Operation Date, periodic sweeps by Seller for recovery of interest earned by the escrowed funds shall be allowed, and, at any time the balance in the Escrow Account exceeds the required amount of security, the escrow agent may remit the excess to Seller.</w:t>
      </w:r>
    </w:p>
    <w:p w:rsidR="0079779A" w:rsidRDefault="003E5439" w14:paraId="7660DF53" w14:textId="77777777">
      <w:pPr>
        <w:pStyle w:val="ArticleL3"/>
        <w:keepNext w:val="0"/>
      </w:pPr>
      <w:r>
        <w:t>Following COD, t</w:t>
      </w:r>
      <w:r>
        <w:fldChar w:fldCharType="begin"/>
      </w:r>
      <w:r>
        <w:instrText xml:space="preserve"> TC </w:instrText>
      </w:r>
      <w:r>
        <w:fldChar w:fldCharType="end"/>
      </w:r>
      <w:r>
        <w:t xml:space="preserve">he Security Fund may consist of a guaranty substantially in the form of </w:t>
      </w:r>
      <w:r>
        <w:rPr>
          <w:u w:val="single"/>
        </w:rPr>
        <w:t>Exhibit H – Form of Guaranty</w:t>
      </w:r>
      <w:r>
        <w:t>, from a parent or other guarantor (“</w:t>
      </w:r>
      <w:r>
        <w:rPr>
          <w:u w:val="single"/>
        </w:rPr>
        <w:t>Guarantor</w:t>
      </w:r>
      <w:r>
        <w:t xml:space="preserve">”) with a minimum tangible net worth of at least $250,000,000 and an Investment Grade Credit Rating (and if such Credit Rating is exactly equivalent to BBB- (S&amp;P) / Baa3 (Moody’s), the Guarantor must not be on credit watch by any rating agency).  If the Credit Rating of the Guarantor is downgraded below Investment Grade, put on credit watch, or an event occurs that (in the reasonable determination of Company) portends a Material Adverse Effect in the creditworthiness of the Guarantor, then Company may require Seller to convert the guaranty to a Security Fund instrument meeting the criteria set forth in either paragraph (A) or paragraph (B) above no later than ten (10) Days after notice from Company.  </w:t>
      </w:r>
    </w:p>
    <w:p w:rsidR="0079779A" w:rsidRDefault="003E5439" w14:paraId="7D647227" w14:textId="77777777">
      <w:pPr>
        <w:pStyle w:val="ArticleL3"/>
        <w:keepNext w:val="0"/>
      </w:pPr>
      <w:r>
        <w:t xml:space="preserve">Company shall negotiate in good faith any needed escrow and account control agreement and, upon request by Seller, immaterial changes to </w:t>
      </w:r>
      <w:r>
        <w:rPr>
          <w:u w:val="single"/>
        </w:rPr>
        <w:t>Exhibit G – Form of Letter of Credit</w:t>
      </w:r>
      <w:r>
        <w:t xml:space="preserve"> and/or </w:t>
      </w:r>
      <w:r>
        <w:rPr>
          <w:u w:val="single"/>
        </w:rPr>
        <w:t>Exhibit H – Form of Guaranty</w:t>
      </w:r>
      <w:r>
        <w:t>, provided that Seller shall pay or reimburse Company for the direct expenses (including the fees and expenses of counsel) incurred by Company in connection therewith.</w:t>
      </w:r>
    </w:p>
    <w:p w:rsidR="0079779A" w:rsidRDefault="003E5439" w14:paraId="117C3DE1" w14:textId="77777777">
      <w:pPr>
        <w:pStyle w:val="ArticleL3"/>
        <w:keepNext w:val="0"/>
      </w:pPr>
      <w:r>
        <w:t xml:space="preserve">Seller may change the form of the Security Fund at any time and from time to time upon Commercially Reasonable prior notice to Company, </w:t>
      </w:r>
      <w:r>
        <w:rPr>
          <w:i/>
        </w:rPr>
        <w:t xml:space="preserve">provided, however, </w:t>
      </w:r>
      <w:r>
        <w:t xml:space="preserve">that the Security Fund must at all times satisfy the requirements of this </w:t>
      </w:r>
      <w:r>
        <w:rPr>
          <w:u w:val="single"/>
        </w:rPr>
        <w:t>Article 11</w:t>
      </w:r>
      <w:r>
        <w:t>.</w:t>
      </w:r>
    </w:p>
    <w:p w:rsidR="0079779A" w:rsidRDefault="003E5439" w14:paraId="665E9004" w14:textId="77777777">
      <w:pPr>
        <w:pStyle w:val="ArticleL2"/>
        <w:keepNext w:val="0"/>
      </w:pPr>
      <w:bookmarkStart w:name="_Toc433954004" w:id="279"/>
      <w:bookmarkStart w:name="_Toc433954162" w:id="280"/>
      <w:r>
        <w:rPr>
          <w:u w:val="single"/>
        </w:rPr>
        <w:t>Replacement</w:t>
      </w:r>
      <w:r>
        <w:rPr>
          <w:color w:val="000000"/>
        </w:rPr>
        <w:fldChar w:fldCharType="begin"/>
      </w:r>
      <w:r>
        <w:rPr>
          <w:color w:val="000000"/>
        </w:rPr>
        <w:instrText>tc "</w:instrText>
      </w:r>
      <w:bookmarkStart w:name="_Toc531859642" w:id="281"/>
      <w:bookmarkStart w:name="_Toc119238944" w:id="282"/>
      <w:r>
        <w:rPr>
          <w:color w:val="000000"/>
        </w:rPr>
        <w:instrText>11.4</w:instrText>
      </w:r>
      <w:r>
        <w:rPr>
          <w:color w:val="000000"/>
        </w:rPr>
        <w:tab/>
        <w:instrText>Replacement</w:instrText>
      </w:r>
      <w:bookmarkEnd w:id="281"/>
      <w:bookmarkEnd w:id="282"/>
      <w:r>
        <w:rPr>
          <w:color w:val="000000"/>
        </w:rPr>
        <w:instrText>” \f C \l 2</w:instrText>
      </w:r>
      <w:r>
        <w:rPr>
          <w:color w:val="000000"/>
        </w:rPr>
        <w:fldChar w:fldCharType="end"/>
      </w:r>
      <w:r>
        <w:t xml:space="preserve">.  In the event that the Security Fund ever fails to comply with the requirements of this </w:t>
      </w:r>
      <w:r>
        <w:rPr>
          <w:u w:val="single"/>
        </w:rPr>
        <w:t>Article 11</w:t>
      </w:r>
      <w:r>
        <w:t xml:space="preserve"> or Company determines in a commercially reasonable manner that an event has occurred or circumstances have developed that threaten to cause the Security Fund to fail to comply with the requirements of this </w:t>
      </w:r>
      <w:r>
        <w:rPr>
          <w:u w:val="single"/>
        </w:rPr>
        <w:t>Article 11</w:t>
      </w:r>
      <w:r>
        <w:t xml:space="preserve"> (e.g. a Guarantor is placed on negative credit watch by a rating agency), Seller shall be required to replace the Security Fund with security in compliance with </w:t>
      </w:r>
      <w:r>
        <w:rPr>
          <w:u w:val="single"/>
        </w:rPr>
        <w:t>Article 11</w:t>
      </w:r>
      <w:r>
        <w:t xml:space="preserve"> within five (5) Days following notice thereof from Company.</w:t>
      </w:r>
      <w:bookmarkEnd w:id="279"/>
      <w:bookmarkEnd w:id="280"/>
    </w:p>
    <w:p w:rsidR="0079779A" w:rsidRDefault="003E5439" w14:paraId="54C7DAE5" w14:textId="77777777">
      <w:pPr>
        <w:pStyle w:val="ArticleL2"/>
        <w:keepNext w:val="0"/>
      </w:pPr>
      <w:bookmarkStart w:name="_Toc433954005" w:id="283"/>
      <w:bookmarkStart w:name="_Toc433954163" w:id="284"/>
      <w:r>
        <w:rPr>
          <w:u w:val="single"/>
        </w:rPr>
        <w:t>Survival</w:t>
      </w:r>
      <w:r>
        <w:rPr>
          <w:color w:val="000000"/>
        </w:rPr>
        <w:fldChar w:fldCharType="begin"/>
      </w:r>
      <w:r>
        <w:rPr>
          <w:color w:val="000000"/>
        </w:rPr>
        <w:instrText>tc "</w:instrText>
      </w:r>
      <w:bookmarkStart w:name="_Toc531859643" w:id="285"/>
      <w:bookmarkStart w:name="_Toc119238945" w:id="286"/>
      <w:r>
        <w:rPr>
          <w:color w:val="000000"/>
        </w:rPr>
        <w:instrText>11.5</w:instrText>
      </w:r>
      <w:r>
        <w:rPr>
          <w:color w:val="000000"/>
        </w:rPr>
        <w:tab/>
        <w:instrText>Survival</w:instrText>
      </w:r>
      <w:bookmarkEnd w:id="285"/>
      <w:bookmarkEnd w:id="286"/>
      <w:r>
        <w:rPr>
          <w:color w:val="000000"/>
        </w:rPr>
        <w:instrText>” \f C \l 2</w:instrText>
      </w:r>
      <w:r>
        <w:rPr>
          <w:color w:val="000000"/>
        </w:rPr>
        <w:fldChar w:fldCharType="end"/>
      </w:r>
      <w:r>
        <w:t xml:space="preserve">.  The Security Fund shall survive termination of this PPA to be available to pay any amounts owed to Company arising prior to or upon termination.  </w:t>
      </w:r>
      <w:r>
        <w:lastRenderedPageBreak/>
        <w:t>Promptly following (i) the end of the Term and the completion of all of Seller’s obligations under this PPA, or (ii) termination of this PPA for any reason prior to the Scheduled Termination Date, Company shall determine the amount, if any, owed by Seller for any obligations or damages arising out of this PPA.  Company may draw such amount and shall release the balance of the Security Fund (including any accumulated interest, if applicable) to Seller.</w:t>
      </w:r>
      <w:bookmarkEnd w:id="283"/>
      <w:bookmarkEnd w:id="284"/>
    </w:p>
    <w:p w:rsidR="0079779A" w:rsidRDefault="003E5439" w14:paraId="12255D2F" w14:textId="77777777">
      <w:pPr>
        <w:pStyle w:val="ArticleL2"/>
        <w:keepNext w:val="0"/>
      </w:pPr>
      <w:bookmarkStart w:name="_Toc433954006" w:id="287"/>
      <w:bookmarkStart w:name="_Toc433954164" w:id="288"/>
      <w:r>
        <w:rPr>
          <w:u w:val="single"/>
        </w:rPr>
        <w:t>Expenses</w:t>
      </w:r>
      <w:r>
        <w:rPr>
          <w:color w:val="000000"/>
        </w:rPr>
        <w:fldChar w:fldCharType="begin"/>
      </w:r>
      <w:r>
        <w:rPr>
          <w:color w:val="000000"/>
        </w:rPr>
        <w:instrText>tc "</w:instrText>
      </w:r>
      <w:bookmarkStart w:name="_Toc531859644" w:id="289"/>
      <w:bookmarkStart w:name="_Toc119238946" w:id="290"/>
      <w:r>
        <w:rPr>
          <w:color w:val="000000"/>
        </w:rPr>
        <w:instrText>11.6</w:instrText>
      </w:r>
      <w:r>
        <w:rPr>
          <w:color w:val="000000"/>
        </w:rPr>
        <w:tab/>
        <w:instrText>Expenses</w:instrText>
      </w:r>
      <w:bookmarkEnd w:id="289"/>
      <w:bookmarkEnd w:id="290"/>
      <w:r>
        <w:rPr>
          <w:color w:val="000000"/>
        </w:rPr>
        <w:instrText>” \f C \l 2</w:instrText>
      </w:r>
      <w:r>
        <w:rPr>
          <w:color w:val="000000"/>
        </w:rPr>
        <w:fldChar w:fldCharType="end"/>
      </w:r>
      <w:r>
        <w:t xml:space="preserve">.  Seller shall reimburse Company for its direct expenses (including the fees and expenses of counsel) incurred by Company in connection with the preparation, negotiation, execution and/or release (including making a draw of funds) of the Security Fund under this </w:t>
      </w:r>
      <w:r>
        <w:rPr>
          <w:u w:val="single"/>
        </w:rPr>
        <w:t>Article 11</w:t>
      </w:r>
      <w:r>
        <w:t>.</w:t>
      </w:r>
      <w:bookmarkEnd w:id="287"/>
      <w:bookmarkEnd w:id="288"/>
    </w:p>
    <w:p w:rsidR="0079779A" w:rsidRDefault="003E5439" w14:paraId="3E748D52" w14:textId="77777777">
      <w:pPr>
        <w:pStyle w:val="ArticleL1"/>
        <w:keepNext w:val="0"/>
      </w:pPr>
      <w:bookmarkStart w:name="_Toc288027280" w:id="291"/>
      <w:bookmarkStart w:name="_Toc433954007" w:id="292"/>
      <w:bookmarkStart w:name="_Toc433954165" w:id="293"/>
      <w:r>
        <w:t>Default and Remedies</w:t>
      </w:r>
      <w:bookmarkEnd w:id="291"/>
      <w:bookmarkEnd w:id="292"/>
      <w:bookmarkEnd w:id="293"/>
      <w:r>
        <w:fldChar w:fldCharType="begin"/>
      </w:r>
      <w:r>
        <w:instrText>tc "</w:instrText>
      </w:r>
      <w:bookmarkStart w:name="_Toc531859645" w:id="294"/>
      <w:bookmarkStart w:name="_Toc119238947" w:id="295"/>
      <w:r>
        <w:instrText>Article 12 – Default and Remedies</w:instrText>
      </w:r>
      <w:bookmarkEnd w:id="294"/>
      <w:bookmarkEnd w:id="295"/>
      <w:r>
        <w:instrText>” \f C \l 1</w:instrText>
      </w:r>
      <w:r>
        <w:fldChar w:fldCharType="end"/>
      </w:r>
      <w:r>
        <w:fldChar w:fldCharType="begin"/>
      </w:r>
      <w:r>
        <w:instrText xml:space="preserve"> TC </w:instrText>
      </w:r>
      <w:r>
        <w:fldChar w:fldCharType="end"/>
      </w:r>
    </w:p>
    <w:p w:rsidR="0079779A" w:rsidRDefault="003E5439" w14:paraId="185E53F0" w14:textId="77777777">
      <w:pPr>
        <w:pStyle w:val="ArticleL2"/>
        <w:keepNext w:val="0"/>
      </w:pPr>
      <w:bookmarkStart w:name="_Toc433954008" w:id="296"/>
      <w:bookmarkStart w:name="_Toc433954166" w:id="297"/>
      <w:bookmarkStart w:name="_Toc288027281" w:id="298"/>
      <w:r>
        <w:rPr>
          <w:u w:val="single"/>
        </w:rPr>
        <w:t>Default by Seller: General</w:t>
      </w:r>
      <w:r>
        <w:fldChar w:fldCharType="begin"/>
      </w:r>
      <w:r>
        <w:instrText>tc "</w:instrText>
      </w:r>
      <w:bookmarkStart w:name="_Toc531859646" w:id="299"/>
      <w:bookmarkStart w:name="_Toc119238948" w:id="300"/>
      <w:r>
        <w:instrText>12.1</w:instrText>
      </w:r>
      <w:r>
        <w:tab/>
        <w:instrText>Default by Seller: General</w:instrText>
      </w:r>
      <w:bookmarkEnd w:id="299"/>
      <w:bookmarkEnd w:id="300"/>
      <w:r>
        <w:instrText>” \f C \l 2</w:instrText>
      </w:r>
      <w:r>
        <w:fldChar w:fldCharType="end"/>
      </w:r>
      <w:r>
        <w:t>.</w:t>
      </w:r>
      <w:bookmarkEnd w:id="296"/>
      <w:bookmarkEnd w:id="297"/>
      <w:r>
        <w:t xml:space="preserve">  </w:t>
      </w:r>
    </w:p>
    <w:p w:rsidR="0079779A" w:rsidRDefault="003E5439" w14:paraId="75C6ED29" w14:textId="77777777">
      <w:pPr>
        <w:pStyle w:val="ArticleL3"/>
        <w:keepNext w:val="0"/>
      </w:pPr>
      <w:r>
        <w:rPr>
          <w:i/>
          <w:u w:val="single"/>
        </w:rPr>
        <w:t>Events</w:t>
      </w:r>
      <w:r>
        <w:t xml:space="preserve">.  Any of the following events shall constitute a default by Seller under this PPA.  If no cure period is provided below, such default shall be deemed an Event of Default by Seller immediately upon its occurrence.  If a cure period is provided below, such default shall mature into an Event of Default if not cured within the indicated cure period, subject to </w:t>
      </w:r>
      <w:r>
        <w:rPr>
          <w:u w:val="single"/>
        </w:rPr>
        <w:t>Section 13.3</w:t>
      </w:r>
      <w:r>
        <w:t xml:space="preserve"> below. </w:t>
      </w:r>
    </w:p>
    <w:p w:rsidR="0079779A" w:rsidRDefault="003E5439" w14:paraId="6B8528F7" w14:textId="77777777">
      <w:pPr>
        <w:pStyle w:val="ArticleL4"/>
        <w:keepNext w:val="0"/>
        <w:numPr>
          <w:ilvl w:val="0"/>
          <w:numId w:val="49"/>
        </w:numPr>
        <w:ind w:left="0" w:firstLine="1980"/>
      </w:pPr>
      <w:r>
        <w:t xml:space="preserve">Seller’s application for, or consent (by admission of material allegations of a petition or otherwise) to, the appointment of a receiver, </w:t>
      </w:r>
      <w:proofErr w:type="gramStart"/>
      <w:r>
        <w:t>trustee</w:t>
      </w:r>
      <w:proofErr w:type="gramEnd"/>
      <w:r>
        <w:t xml:space="preserve"> or liquidator for Seller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rsidR="0079779A" w:rsidRDefault="003E5439" w14:paraId="6E817B4C" w14:textId="77777777">
      <w:pPr>
        <w:pStyle w:val="ArticleL4"/>
        <w:keepNext w:val="0"/>
        <w:numPr>
          <w:ilvl w:val="0"/>
          <w:numId w:val="0"/>
        </w:numPr>
        <w:ind w:left="2520"/>
      </w:pPr>
      <w:r>
        <w:t xml:space="preserve">Cure Period:  </w:t>
      </w:r>
      <w:r>
        <w:tab/>
        <w:t>None.</w:t>
      </w:r>
    </w:p>
    <w:p w:rsidR="0079779A" w:rsidRDefault="003E5439" w14:paraId="7863FE47" w14:textId="77777777">
      <w:pPr>
        <w:pStyle w:val="ArticleL4"/>
        <w:keepNext w:val="0"/>
        <w:numPr>
          <w:ilvl w:val="0"/>
          <w:numId w:val="49"/>
        </w:numPr>
        <w:ind w:left="0" w:firstLine="1980"/>
      </w:pPr>
      <w:r>
        <w:t xml:space="preserve">Seller’s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Seller without such authorization, application or consent, which proceedings remain undismissed or unstayed for sixty (60) Days from its inception or which result in adjudication of bankruptcy or insolvency within such time.  </w:t>
      </w:r>
    </w:p>
    <w:p w:rsidR="0079779A" w:rsidRDefault="003E5439" w14:paraId="2F1EEABF" w14:textId="77777777">
      <w:pPr>
        <w:pStyle w:val="ArticleL4"/>
        <w:keepNext w:val="0"/>
        <w:numPr>
          <w:ilvl w:val="0"/>
          <w:numId w:val="0"/>
        </w:numPr>
        <w:ind w:left="2520"/>
      </w:pPr>
      <w:r>
        <w:t xml:space="preserve">Cure Period:  </w:t>
      </w:r>
      <w:r>
        <w:tab/>
        <w:t>None.</w:t>
      </w:r>
    </w:p>
    <w:p w:rsidR="0079779A" w:rsidRDefault="003E5439" w14:paraId="50206C17" w14:textId="77777777">
      <w:pPr>
        <w:pStyle w:val="ArticleL4"/>
        <w:keepNext w:val="0"/>
        <w:numPr>
          <w:ilvl w:val="0"/>
          <w:numId w:val="49"/>
        </w:numPr>
        <w:ind w:left="0" w:firstLine="1980"/>
      </w:pPr>
      <w:r>
        <w:t xml:space="preserve">Seller’s assignment of this PPA or the Facility or any Change of Control, not permitted by </w:t>
      </w:r>
      <w:r>
        <w:rPr>
          <w:u w:val="single"/>
        </w:rPr>
        <w:t>Section 19.1</w:t>
      </w:r>
      <w:r>
        <w:t xml:space="preserve">.  </w:t>
      </w:r>
    </w:p>
    <w:p w:rsidR="0079779A" w:rsidRDefault="003E5439" w14:paraId="06DF8BDF" w14:textId="77777777">
      <w:pPr>
        <w:pStyle w:val="ArticleL4"/>
        <w:keepNext w:val="0"/>
        <w:numPr>
          <w:ilvl w:val="0"/>
          <w:numId w:val="0"/>
        </w:numPr>
        <w:ind w:left="2520"/>
      </w:pPr>
      <w:r>
        <w:t xml:space="preserve">Cure Period:  </w:t>
      </w:r>
      <w:r>
        <w:tab/>
        <w:t>None.</w:t>
      </w:r>
    </w:p>
    <w:p w:rsidR="0079779A" w:rsidRDefault="003E5439" w14:paraId="49059180" w14:textId="77777777">
      <w:pPr>
        <w:pStyle w:val="ArticleL4"/>
        <w:keepNext w:val="0"/>
        <w:numPr>
          <w:ilvl w:val="0"/>
          <w:numId w:val="49"/>
        </w:numPr>
        <w:ind w:left="0" w:firstLine="1980"/>
      </w:pPr>
      <w:r>
        <w:t xml:space="preserve">Any representation or warranty by Seller in this PPA that has a Material Adverse Effect on Seller’s ability to perform this PPA is proven to have been false in any material respect when made.  </w:t>
      </w:r>
    </w:p>
    <w:p w:rsidR="0079779A" w:rsidRDefault="003E5439" w14:paraId="75ABAAC5" w14:textId="77777777">
      <w:pPr>
        <w:pStyle w:val="ArticleL4"/>
        <w:keepNext w:val="0"/>
        <w:numPr>
          <w:ilvl w:val="0"/>
          <w:numId w:val="0"/>
        </w:numPr>
        <w:ind w:left="2520"/>
      </w:pPr>
      <w:r>
        <w:t xml:space="preserve">Cure Period: </w:t>
      </w:r>
      <w:r>
        <w:tab/>
        <w:t xml:space="preserve">None. </w:t>
      </w:r>
    </w:p>
    <w:p w:rsidR="0079779A" w:rsidRDefault="003E5439" w14:paraId="55C34E83" w14:textId="77777777">
      <w:pPr>
        <w:pStyle w:val="ArticleL4"/>
        <w:keepNext w:val="0"/>
        <w:numPr>
          <w:ilvl w:val="0"/>
          <w:numId w:val="49"/>
        </w:numPr>
        <w:ind w:left="0" w:firstLine="1980"/>
      </w:pPr>
      <w:r>
        <w:lastRenderedPageBreak/>
        <w:t xml:space="preserve">Seller’s failure to establish and, once established, maintain the Security Fund as and in the amounts required under </w:t>
      </w:r>
      <w:r>
        <w:rPr>
          <w:u w:val="single"/>
        </w:rPr>
        <w:t>Article 11</w:t>
      </w:r>
      <w:r>
        <w:t xml:space="preserve">.   </w:t>
      </w:r>
    </w:p>
    <w:p w:rsidR="0079779A" w:rsidRDefault="003E5439" w14:paraId="40A7D6AD" w14:textId="77777777">
      <w:pPr>
        <w:pStyle w:val="ArticleL4"/>
        <w:keepNext w:val="0"/>
        <w:numPr>
          <w:ilvl w:val="0"/>
          <w:numId w:val="0"/>
        </w:numPr>
        <w:ind w:left="2520"/>
      </w:pPr>
      <w:r>
        <w:rPr>
          <w:i/>
        </w:rPr>
        <w:t>Cure Period</w:t>
      </w:r>
      <w:r>
        <w:t xml:space="preserve">: </w:t>
      </w:r>
      <w:r>
        <w:tab/>
        <w:t>Five (5) Business Days after Company provides notice of Seller’s failure.</w:t>
      </w:r>
    </w:p>
    <w:p w:rsidR="0079779A" w:rsidRDefault="003E5439" w14:paraId="01E37196" w14:textId="77777777">
      <w:pPr>
        <w:pStyle w:val="ArticleL4"/>
        <w:keepNext w:val="0"/>
        <w:numPr>
          <w:ilvl w:val="0"/>
          <w:numId w:val="49"/>
        </w:numPr>
        <w:ind w:left="0" w:firstLine="1980"/>
      </w:pPr>
      <w:r>
        <w:t xml:space="preserve">Seller’s failure to obtain and maintain insurance in scope and amounts required under </w:t>
      </w:r>
      <w:r>
        <w:rPr>
          <w:u w:val="single"/>
        </w:rPr>
        <w:t>Article 16</w:t>
      </w:r>
      <w:r>
        <w:t>.</w:t>
      </w:r>
    </w:p>
    <w:p w:rsidR="0079779A" w:rsidRDefault="003E5439" w14:paraId="0D892697" w14:textId="77777777">
      <w:pPr>
        <w:pStyle w:val="BodyText"/>
        <w:ind w:left="2430" w:hanging="1530"/>
        <w:rPr>
          <w:rFonts w:cs="Arial"/>
        </w:rPr>
      </w:pPr>
      <w:r>
        <w:rPr>
          <w:rFonts w:cs="Arial"/>
          <w:i/>
          <w:lang w:val="en-US" w:eastAsia="en-US"/>
        </w:rPr>
        <w:t>Cure Period</w:t>
      </w:r>
      <w:r>
        <w:rPr>
          <w:rFonts w:cs="Arial"/>
          <w:lang w:val="en-US" w:eastAsia="en-US"/>
        </w:rPr>
        <w:t>:</w:t>
      </w:r>
      <w:r>
        <w:rPr>
          <w:rFonts w:cs="Arial"/>
          <w:lang w:val="en-US" w:eastAsia="en-US"/>
        </w:rPr>
        <w:tab/>
        <w:t xml:space="preserve">Five </w:t>
      </w:r>
      <w:r>
        <w:rPr>
          <w:rFonts w:cs="Arial"/>
        </w:rPr>
        <w:t>(5) Business Days after Company provides notice of Seller’s</w:t>
      </w:r>
      <w:r>
        <w:rPr>
          <w:rFonts w:cs="Arial"/>
          <w:lang w:val="en-US" w:eastAsia="en-US"/>
        </w:rPr>
        <w:t xml:space="preserve"> failure.</w:t>
      </w:r>
    </w:p>
    <w:p w:rsidR="0079779A" w:rsidRDefault="003E5439" w14:paraId="619A30F1" w14:textId="77777777">
      <w:pPr>
        <w:pStyle w:val="ArticleL4"/>
        <w:keepNext w:val="0"/>
        <w:numPr>
          <w:ilvl w:val="0"/>
          <w:numId w:val="49"/>
        </w:numPr>
        <w:ind w:left="0" w:firstLine="1980"/>
      </w:pPr>
      <w:r>
        <w:t>Seller’s</w:t>
      </w:r>
      <w:r>
        <w:rPr>
          <w:lang w:val="en-CA"/>
        </w:rPr>
        <w:t xml:space="preserve"> failure to make any payment to Company as and when required by this PPA, </w:t>
      </w:r>
      <w:r>
        <w:rPr>
          <w:u w:val="single"/>
        </w:rPr>
        <w:t>including</w:t>
      </w:r>
      <w:r>
        <w:rPr>
          <w:lang w:val="en-CA"/>
        </w:rPr>
        <w:t xml:space="preserve"> Liquidated Delay Damages, Actual Damages, and any required indemnification.   </w:t>
      </w:r>
    </w:p>
    <w:p w:rsidR="0079779A" w:rsidRDefault="003E5439" w14:paraId="73548655" w14:textId="77777777">
      <w:pPr>
        <w:pStyle w:val="ArticleL4"/>
        <w:keepNext w:val="0"/>
        <w:numPr>
          <w:ilvl w:val="0"/>
          <w:numId w:val="0"/>
        </w:numPr>
        <w:ind w:left="2520"/>
      </w:pPr>
      <w:r>
        <w:rPr>
          <w:i/>
          <w:lang w:val="en-CA"/>
        </w:rPr>
        <w:t>Cure Period</w:t>
      </w:r>
      <w:r>
        <w:rPr>
          <w:lang w:val="en-CA"/>
        </w:rPr>
        <w:t>: Ten (10) Business Days after Company provides notice that the amount is overdue.</w:t>
      </w:r>
    </w:p>
    <w:p w:rsidR="0079779A" w:rsidRDefault="003E5439" w14:paraId="0CB26398" w14:textId="77777777">
      <w:pPr>
        <w:pStyle w:val="ArticleL4"/>
        <w:keepNext w:val="0"/>
        <w:numPr>
          <w:ilvl w:val="0"/>
          <w:numId w:val="49"/>
        </w:numPr>
        <w:ind w:left="0" w:firstLine="1980"/>
      </w:pPr>
      <w:r>
        <w:t xml:space="preserve">Any </w:t>
      </w:r>
      <w:r>
        <w:rPr>
          <w:u w:val="single"/>
        </w:rPr>
        <w:t>representation</w:t>
      </w:r>
      <w:r>
        <w:t xml:space="preserve"> or warranty by Seller in this PPA that has a Material Adverse Effect on Seller’s ability to perform this PPA ceases to remain true in all material respects during the Term, other than due to a change of law.  </w:t>
      </w:r>
    </w:p>
    <w:p w:rsidR="0079779A" w:rsidRDefault="003E5439" w14:paraId="32A3634F" w14:textId="77777777">
      <w:pPr>
        <w:pStyle w:val="ArticleL4"/>
        <w:keepNext w:val="0"/>
        <w:numPr>
          <w:ilvl w:val="0"/>
          <w:numId w:val="0"/>
        </w:numPr>
        <w:ind w:left="2520"/>
      </w:pPr>
      <w:r>
        <w:rPr>
          <w:i/>
        </w:rPr>
        <w:t>Cure Period</w:t>
      </w:r>
      <w:r>
        <w:t xml:space="preserve">: </w:t>
      </w:r>
      <w:r>
        <w:tab/>
        <w:t>Thirty (30) Days after Company provides notice of such breach.</w:t>
      </w:r>
    </w:p>
    <w:p w:rsidR="0079779A" w:rsidRDefault="003E5439" w14:paraId="4125A42B" w14:textId="77777777">
      <w:pPr>
        <w:pStyle w:val="ArticleL4"/>
        <w:keepNext w:val="0"/>
        <w:numPr>
          <w:ilvl w:val="0"/>
          <w:numId w:val="49"/>
        </w:numPr>
        <w:ind w:left="0" w:firstLine="1980"/>
      </w:pPr>
      <w:r>
        <w:rPr>
          <w:lang w:val="en-CA"/>
        </w:rPr>
        <w:t xml:space="preserve">The breach by Seller of the Interconnection Agreement, which breach (i) materially interferes with Seller’s production and/or delivery of any product or service to be produced or delivered pursuant to this PPA or Company’s ability to accept or receive such product or service, (ii) Company’s ability to transmit Energy beyond the Point of Delivery, and/or (iii) otherwise has a Material Adverse Effect on Company.   </w:t>
      </w:r>
    </w:p>
    <w:p w:rsidR="0079779A" w:rsidRDefault="003E5439" w14:paraId="5C17D09F" w14:textId="77777777">
      <w:pPr>
        <w:pStyle w:val="ArticleL4"/>
        <w:keepNext w:val="0"/>
        <w:numPr>
          <w:ilvl w:val="0"/>
          <w:numId w:val="0"/>
        </w:numPr>
        <w:ind w:left="2520"/>
      </w:pPr>
      <w:r>
        <w:rPr>
          <w:i/>
          <w:lang w:val="en-CA"/>
        </w:rPr>
        <w:t>Cure Period</w:t>
      </w:r>
      <w:r>
        <w:rPr>
          <w:lang w:val="en-CA"/>
        </w:rPr>
        <w:t>:</w:t>
      </w:r>
      <w:r>
        <w:rPr>
          <w:lang w:val="en-CA"/>
        </w:rPr>
        <w:tab/>
        <w:t xml:space="preserve">Thirty (30) Days from the breach or the cure period allowed by the Interconnection Agreement (whichever is longer).   </w:t>
      </w:r>
    </w:p>
    <w:p w:rsidR="0079779A" w:rsidRDefault="003E5439" w14:paraId="18AB5D26" w14:textId="77777777">
      <w:pPr>
        <w:pStyle w:val="ArticleL4"/>
        <w:keepNext w:val="0"/>
        <w:numPr>
          <w:ilvl w:val="0"/>
          <w:numId w:val="49"/>
        </w:numPr>
        <w:ind w:left="0" w:firstLine="1980"/>
      </w:pPr>
      <w:r>
        <w:t xml:space="preserve">Seller starts-up, operates, charges, or discharges or permits or causes any third party (including Seller’s designated operator) to start-up, operate, </w:t>
      </w:r>
      <w:proofErr w:type="gramStart"/>
      <w:r>
        <w:t>charge</w:t>
      </w:r>
      <w:proofErr w:type="gramEnd"/>
      <w:r>
        <w:t xml:space="preserve"> or discharge any Battery Storage System other than as specifically permitted under this PPA. </w:t>
      </w:r>
    </w:p>
    <w:p w:rsidR="0079779A" w:rsidRDefault="003E5439" w14:paraId="0121382D" w14:textId="77777777">
      <w:pPr>
        <w:pStyle w:val="ArticleL4"/>
        <w:keepNext w:val="0"/>
        <w:numPr>
          <w:ilvl w:val="0"/>
          <w:numId w:val="0"/>
        </w:numPr>
        <w:ind w:left="2520"/>
      </w:pPr>
      <w:r>
        <w:rPr>
          <w:i/>
        </w:rPr>
        <w:t>Cure Period</w:t>
      </w:r>
      <w:r>
        <w:t>:</w:t>
      </w:r>
      <w:r>
        <w:tab/>
        <w:t>None.</w:t>
      </w:r>
    </w:p>
    <w:p w:rsidR="0079779A" w:rsidRDefault="003E5439" w14:paraId="7274C0C1" w14:textId="77777777">
      <w:pPr>
        <w:pStyle w:val="ArticleL4"/>
        <w:keepNext w:val="0"/>
        <w:numPr>
          <w:ilvl w:val="0"/>
          <w:numId w:val="49"/>
        </w:numPr>
        <w:ind w:left="0" w:firstLine="1980"/>
      </w:pPr>
      <w:r>
        <w:t>Seller intentionally or knowingly delivers, or attempts to deliver, Energy for sale under this PPA that was not associated with or stored by the Facility.</w:t>
      </w:r>
    </w:p>
    <w:p w:rsidR="0079779A" w:rsidRDefault="003E5439" w14:paraId="0413A4FA" w14:textId="77777777">
      <w:pPr>
        <w:pStyle w:val="ArticleL4"/>
        <w:keepNext w:val="0"/>
        <w:numPr>
          <w:ilvl w:val="0"/>
          <w:numId w:val="0"/>
        </w:numPr>
        <w:ind w:left="2520"/>
      </w:pPr>
      <w:r>
        <w:rPr>
          <w:i/>
        </w:rPr>
        <w:t>Cure Period</w:t>
      </w:r>
      <w:r>
        <w:t>:</w:t>
      </w:r>
      <w:r>
        <w:tab/>
        <w:t>None.</w:t>
      </w:r>
    </w:p>
    <w:p w:rsidR="0079779A" w:rsidRDefault="003E5439" w14:paraId="00ACC964" w14:textId="77777777">
      <w:pPr>
        <w:pStyle w:val="ArticleL4"/>
        <w:keepNext w:val="0"/>
        <w:numPr>
          <w:ilvl w:val="0"/>
          <w:numId w:val="49"/>
        </w:numPr>
        <w:ind w:left="0" w:firstLine="1980"/>
      </w:pPr>
      <w:r>
        <w:t>The average Equivalent Availability Factor of the Battery Storage System is less than ninety percent (90%) on average for a Commercial Operation Year.</w:t>
      </w:r>
    </w:p>
    <w:p w:rsidR="0079779A" w:rsidRDefault="003E5439" w14:paraId="7FB6A823" w14:textId="77777777">
      <w:pPr>
        <w:pStyle w:val="ArticleL4"/>
        <w:keepNext w:val="0"/>
        <w:numPr>
          <w:ilvl w:val="0"/>
          <w:numId w:val="0"/>
        </w:numPr>
        <w:ind w:left="2520"/>
      </w:pPr>
      <w:r>
        <w:rPr>
          <w:i/>
        </w:rPr>
        <w:lastRenderedPageBreak/>
        <w:t>Cure Period</w:t>
      </w:r>
      <w:r>
        <w:t xml:space="preserve">: </w:t>
      </w:r>
      <w:r>
        <w:tab/>
        <w:t>Seller shall be deemed to have cured this default if the average Equivalent Availability Factor of the Battery Storage System is at least ninety percent (90%) for the subsequent Commercial Operation Year.</w:t>
      </w:r>
    </w:p>
    <w:p w:rsidR="0079779A" w:rsidRDefault="003E5439" w14:paraId="1D5D4A5E" w14:textId="77777777">
      <w:pPr>
        <w:pStyle w:val="ArticleL4"/>
        <w:keepNext w:val="0"/>
        <w:numPr>
          <w:ilvl w:val="0"/>
          <w:numId w:val="49"/>
        </w:numPr>
        <w:ind w:left="0" w:firstLine="1980"/>
      </w:pPr>
      <w:r>
        <w:t>The Round Trip Efficiency derived from a Test is less than 90% of the then-applicable Guaranteed Round Trip Efficiency.</w:t>
      </w:r>
    </w:p>
    <w:p w:rsidR="0079779A" w:rsidRDefault="003E5439" w14:paraId="1EFABCB6" w14:textId="77777777">
      <w:pPr>
        <w:pStyle w:val="ArticleL4"/>
        <w:keepNext w:val="0"/>
        <w:numPr>
          <w:ilvl w:val="0"/>
          <w:numId w:val="0"/>
        </w:numPr>
        <w:ind w:left="2520"/>
      </w:pPr>
      <w:r>
        <w:rPr>
          <w:i/>
        </w:rPr>
        <w:t>Cure Period</w:t>
      </w:r>
      <w:r>
        <w:t>:</w:t>
      </w:r>
      <w:r>
        <w:tab/>
        <w:t>Seller shall be deemed to have cured this default if, within 30 days, Seller completes a Test demonstrating that the Round Trip Efficiency is at least equal to 90% of the then-applicable Guaranteed Round Trip Efficiency.</w:t>
      </w:r>
    </w:p>
    <w:p w:rsidR="0079779A" w:rsidRDefault="003E5439" w14:paraId="14264D50" w14:textId="77777777">
      <w:pPr>
        <w:pStyle w:val="ArticleL4"/>
        <w:keepNext w:val="0"/>
        <w:numPr>
          <w:ilvl w:val="0"/>
          <w:numId w:val="49"/>
        </w:numPr>
        <w:ind w:left="0" w:firstLine="1980"/>
      </w:pPr>
      <w:r>
        <w:t xml:space="preserve">Seller’s failure to complete a Successful Repair in accordance with </w:t>
      </w:r>
      <w:r>
        <w:rPr>
          <w:u w:val="single"/>
        </w:rPr>
        <w:t>Section 10.3</w:t>
      </w:r>
      <w:r>
        <w:t xml:space="preserve">. </w:t>
      </w:r>
    </w:p>
    <w:p w:rsidR="0079779A" w:rsidRDefault="003E5439" w14:paraId="1C70BC93" w14:textId="77777777">
      <w:pPr>
        <w:pStyle w:val="ArticleL4"/>
        <w:keepNext w:val="0"/>
        <w:numPr>
          <w:ilvl w:val="0"/>
          <w:numId w:val="0"/>
        </w:numPr>
        <w:ind w:left="2160"/>
        <w:rPr>
          <w:lang w:val="en-CA"/>
        </w:rPr>
      </w:pPr>
      <w:r>
        <w:rPr>
          <w:i/>
        </w:rPr>
        <w:t>Cure Period</w:t>
      </w:r>
      <w:r>
        <w:t>:</w:t>
      </w:r>
      <w:r>
        <w:tab/>
        <w:t xml:space="preserve">Seller shall be deemed to have cured this default if, within [30] days, Seller completes a Successful Repair. </w:t>
      </w:r>
      <w:r>
        <w:rPr>
          <w:lang w:val="en-CA"/>
        </w:rPr>
        <w:tab/>
        <w:t xml:space="preserve">  </w:t>
      </w:r>
      <w:r>
        <w:rPr>
          <w:lang w:val="en-CA"/>
        </w:rPr>
        <w:tab/>
      </w:r>
    </w:p>
    <w:p w:rsidR="0079779A" w:rsidRDefault="003E5439" w14:paraId="2BFF03F5" w14:textId="77777777">
      <w:pPr>
        <w:pStyle w:val="ArticleL4"/>
        <w:keepNext w:val="0"/>
        <w:numPr>
          <w:ilvl w:val="0"/>
          <w:numId w:val="49"/>
        </w:numPr>
        <w:ind w:left="0" w:firstLine="1980"/>
        <w:rPr>
          <w:lang w:val="en-CA"/>
        </w:rPr>
      </w:pPr>
      <w:r>
        <w:rPr>
          <w:lang w:val="en-CA"/>
        </w:rPr>
        <w:t xml:space="preserve">The failure by Seller to perform or observe any other material obligation to Company under </w:t>
      </w:r>
      <w:r>
        <w:t>this</w:t>
      </w:r>
      <w:r>
        <w:rPr>
          <w:lang w:val="en-CA"/>
        </w:rPr>
        <w:t xml:space="preserve"> PPA, unexcused by Force Majeure (other than failure to achieve COD, which is addressed in </w:t>
      </w:r>
      <w:r>
        <w:rPr>
          <w:u w:val="single"/>
          <w:lang w:val="en-CA"/>
        </w:rPr>
        <w:t>Section 12.2</w:t>
      </w:r>
      <w:r>
        <w:rPr>
          <w:lang w:val="en-CA"/>
        </w:rPr>
        <w:t xml:space="preserve"> below).   </w:t>
      </w:r>
    </w:p>
    <w:p w:rsidR="0079779A" w:rsidRDefault="003E5439" w14:paraId="71479C73" w14:textId="77777777">
      <w:pPr>
        <w:pStyle w:val="ArticleL4"/>
        <w:keepNext w:val="0"/>
        <w:numPr>
          <w:ilvl w:val="0"/>
          <w:numId w:val="0"/>
        </w:numPr>
        <w:ind w:left="2160"/>
      </w:pPr>
      <w:r>
        <w:rPr>
          <w:i/>
          <w:lang w:val="en-CA"/>
        </w:rPr>
        <w:t>Cure Period</w:t>
      </w:r>
      <w:r>
        <w:rPr>
          <w:lang w:val="en-CA"/>
        </w:rPr>
        <w:t xml:space="preserve">: Thirty (30) Days after Company provides notice thereof; </w:t>
      </w:r>
      <w:r>
        <w:rPr>
          <w:i/>
          <w:lang w:val="en-CA"/>
        </w:rPr>
        <w:t>provided</w:t>
      </w:r>
      <w:r>
        <w:rPr>
          <w:lang w:val="en-CA"/>
        </w:rPr>
        <w:t xml:space="preserve">, that if such default is not reasonably capable of cure within such </w:t>
      </w:r>
      <w:proofErr w:type="gramStart"/>
      <w:r>
        <w:rPr>
          <w:lang w:val="en-CA"/>
        </w:rPr>
        <w:t>30 Day</w:t>
      </w:r>
      <w:proofErr w:type="gramEnd"/>
      <w:r>
        <w:rPr>
          <w:lang w:val="en-CA"/>
        </w:rPr>
        <w:t xml:space="preserve"> period, Seller shall have such additional period of time </w:t>
      </w:r>
      <w:r>
        <w:t>(not to exceed ninety (90) Days in any event) as is reasonably necessary for cure, so long as Seller initiates cure within such 30 Day period and diligently prosecutes the cure to conclusion thereafter.</w:t>
      </w:r>
    </w:p>
    <w:p w:rsidR="0079779A" w:rsidRDefault="003E5439" w14:paraId="6349EECC" w14:textId="77777777">
      <w:pPr>
        <w:pStyle w:val="ArticleL4"/>
        <w:keepNext w:val="0"/>
        <w:numPr>
          <w:ilvl w:val="0"/>
          <w:numId w:val="49"/>
        </w:numPr>
        <w:ind w:left="0" w:firstLine="1980"/>
        <w:rPr>
          <w:szCs w:val="24"/>
        </w:rPr>
      </w:pPr>
      <w:r>
        <w:rPr>
          <w:szCs w:val="24"/>
        </w:rPr>
        <w:t xml:space="preserve">Seller removes from the Site equipment upon which the Commercial Operation Test has been </w:t>
      </w:r>
      <w:r>
        <w:t>based</w:t>
      </w:r>
      <w:r>
        <w:rPr>
          <w:szCs w:val="24"/>
        </w:rPr>
        <w:t>, except for the purposes of replacement, refurbishment, repair or maintenance, and the equipment is not returned within five (5) days after notice from Company.</w:t>
      </w:r>
    </w:p>
    <w:p w:rsidR="0079779A" w:rsidRDefault="003E5439" w14:paraId="265AEE3D" w14:textId="77777777">
      <w:pPr>
        <w:pStyle w:val="ListParagraph"/>
        <w:ind w:left="1440" w:firstLine="720"/>
        <w:rPr>
          <w:rFonts w:cs="Arial"/>
        </w:rPr>
      </w:pPr>
      <w:r>
        <w:rPr>
          <w:rFonts w:cs="Arial"/>
          <w:i/>
        </w:rPr>
        <w:t>Cure Period</w:t>
      </w:r>
      <w:r>
        <w:rPr>
          <w:rFonts w:cs="Arial"/>
        </w:rPr>
        <w:t>: None</w:t>
      </w:r>
    </w:p>
    <w:p w:rsidR="0079779A" w:rsidRDefault="0079779A" w14:paraId="097263BE" w14:textId="77777777">
      <w:pPr>
        <w:pStyle w:val="ListParagraph"/>
        <w:ind w:left="1440" w:firstLine="720"/>
        <w:rPr>
          <w:rFonts w:cs="Arial"/>
        </w:rPr>
      </w:pPr>
    </w:p>
    <w:p w:rsidR="0079779A" w:rsidRDefault="003E5439" w14:paraId="046931BD" w14:textId="77777777">
      <w:pPr>
        <w:pStyle w:val="ArticleL4"/>
        <w:keepNext w:val="0"/>
        <w:numPr>
          <w:ilvl w:val="0"/>
          <w:numId w:val="49"/>
        </w:numPr>
        <w:ind w:left="0" w:firstLine="1980"/>
        <w:rPr>
          <w:szCs w:val="24"/>
        </w:rPr>
      </w:pPr>
      <w:r>
        <w:rPr>
          <w:szCs w:val="24"/>
        </w:rPr>
        <w:t xml:space="preserve">Seller makes any material misrepresentation or omission in any report (including any status </w:t>
      </w:r>
      <w:r>
        <w:t>report</w:t>
      </w:r>
      <w:r>
        <w:rPr>
          <w:szCs w:val="24"/>
        </w:rPr>
        <w:t xml:space="preserve">, logs, and reports required under </w:t>
      </w:r>
      <w:r>
        <w:rPr>
          <w:szCs w:val="24"/>
          <w:u w:val="single"/>
        </w:rPr>
        <w:t>Section 4.1</w:t>
      </w:r>
      <w:r>
        <w:rPr>
          <w:szCs w:val="24"/>
        </w:rPr>
        <w:t xml:space="preserve">, </w:t>
      </w:r>
      <w:r>
        <w:rPr>
          <w:szCs w:val="24"/>
          <w:u w:val="single"/>
        </w:rPr>
        <w:t>Section 5.5</w:t>
      </w:r>
      <w:r>
        <w:rPr>
          <w:szCs w:val="24"/>
        </w:rPr>
        <w:t xml:space="preserve">, </w:t>
      </w:r>
      <w:r>
        <w:rPr>
          <w:szCs w:val="24"/>
          <w:u w:val="single"/>
        </w:rPr>
        <w:t>Section 10.4</w:t>
      </w:r>
      <w:r>
        <w:rPr>
          <w:szCs w:val="24"/>
        </w:rPr>
        <w:t xml:space="preserve">, </w:t>
      </w:r>
      <w:r>
        <w:rPr>
          <w:u w:val="single"/>
        </w:rPr>
        <w:t>Exhibit I - AGC Protocols; Dispatch and Availability Notices; Data Collection; Technical Specifications</w:t>
      </w:r>
      <w:r>
        <w:rPr>
          <w:szCs w:val="24"/>
        </w:rPr>
        <w:t xml:space="preserve">, and </w:t>
      </w:r>
      <w:r>
        <w:rPr>
          <w:u w:val="single"/>
        </w:rPr>
        <w:t>Exhibit M – Battery Storage System Testing Protocols</w:t>
      </w:r>
      <w:r>
        <w:rPr>
          <w:szCs w:val="24"/>
        </w:rPr>
        <w:t>) required to be made or furnished by Seller pursuant to this PPA.</w:t>
      </w:r>
    </w:p>
    <w:p w:rsidR="0079779A" w:rsidRDefault="003E5439" w14:paraId="52A5DE99" w14:textId="77777777">
      <w:pPr>
        <w:pStyle w:val="ListParagraph"/>
        <w:ind w:left="1440" w:firstLine="720"/>
        <w:rPr>
          <w:rFonts w:cs="Arial"/>
        </w:rPr>
      </w:pPr>
      <w:r>
        <w:rPr>
          <w:rFonts w:cs="Arial"/>
          <w:i/>
        </w:rPr>
        <w:t>Cure Period</w:t>
      </w:r>
      <w:r>
        <w:rPr>
          <w:rFonts w:cs="Arial"/>
        </w:rPr>
        <w:t>: Five (5) Days after notice from Company.</w:t>
      </w:r>
    </w:p>
    <w:p w:rsidR="0079779A" w:rsidRDefault="0079779A" w14:paraId="4059839A" w14:textId="77777777">
      <w:pPr>
        <w:pStyle w:val="ListParagraph"/>
        <w:ind w:left="1440" w:firstLine="720"/>
        <w:rPr>
          <w:rFonts w:cs="Arial"/>
        </w:rPr>
      </w:pPr>
    </w:p>
    <w:p w:rsidR="0079779A" w:rsidRDefault="003E5439" w14:paraId="451A73A0" w14:textId="77777777">
      <w:pPr>
        <w:pStyle w:val="ArticleL4"/>
        <w:keepNext w:val="0"/>
        <w:numPr>
          <w:ilvl w:val="0"/>
          <w:numId w:val="49"/>
        </w:numPr>
        <w:ind w:left="0" w:firstLine="1980"/>
        <w:rPr>
          <w:szCs w:val="24"/>
        </w:rPr>
      </w:pPr>
      <w:r>
        <w:t>Subject</w:t>
      </w:r>
      <w:r>
        <w:rPr>
          <w:szCs w:val="24"/>
        </w:rPr>
        <w:t xml:space="preserve"> to Section 7.3, Seller makes any material misrepresentation or omission in any Availability Notice. </w:t>
      </w:r>
    </w:p>
    <w:p w:rsidR="0079779A" w:rsidRDefault="003E5439" w14:paraId="22D2A24F" w14:textId="77777777">
      <w:pPr>
        <w:pStyle w:val="ListParagraph"/>
        <w:ind w:left="1440" w:firstLine="720"/>
        <w:rPr>
          <w:rFonts w:cs="Arial"/>
        </w:rPr>
      </w:pPr>
      <w:r>
        <w:rPr>
          <w:rFonts w:cs="Arial"/>
          <w:i/>
        </w:rPr>
        <w:t>Cure Period</w:t>
      </w:r>
      <w:r>
        <w:rPr>
          <w:rFonts w:cs="Arial"/>
        </w:rPr>
        <w:t xml:space="preserve">: None. </w:t>
      </w:r>
    </w:p>
    <w:p w:rsidR="0079779A" w:rsidRDefault="0079779A" w14:paraId="05A97ABB" w14:textId="77777777">
      <w:pPr>
        <w:pStyle w:val="ListParagraph"/>
        <w:ind w:left="1440" w:firstLine="720"/>
        <w:rPr>
          <w:rFonts w:cs="Arial"/>
        </w:rPr>
      </w:pPr>
    </w:p>
    <w:p w:rsidR="0079779A" w:rsidRDefault="003E5439" w14:paraId="51D61D17" w14:textId="77777777">
      <w:pPr>
        <w:pStyle w:val="ArticleL3"/>
        <w:keepNext w:val="0"/>
      </w:pPr>
      <w:r>
        <w:rPr>
          <w:i/>
          <w:u w:val="single"/>
        </w:rPr>
        <w:lastRenderedPageBreak/>
        <w:t>Remedies for Default</w:t>
      </w:r>
      <w:r>
        <w:fldChar w:fldCharType="begin"/>
      </w:r>
      <w:r>
        <w:instrText xml:space="preserve"> TC </w:instrText>
      </w:r>
      <w:r>
        <w:fldChar w:fldCharType="end"/>
      </w:r>
      <w:r>
        <w:t xml:space="preserve">.  In connection with any default by Seller under this </w:t>
      </w:r>
      <w:r>
        <w:rPr>
          <w:u w:val="single"/>
        </w:rPr>
        <w:t>Section 12.1</w:t>
      </w:r>
      <w:r>
        <w:t xml:space="preserve"> (whether or not cured by Seller), Company may   </w:t>
      </w:r>
    </w:p>
    <w:p w:rsidR="0079779A" w:rsidRDefault="003E5439" w14:paraId="1E26EE4C" w14:textId="77777777">
      <w:pPr>
        <w:pStyle w:val="ArticleL4"/>
        <w:keepNext w:val="0"/>
        <w:numPr>
          <w:ilvl w:val="0"/>
          <w:numId w:val="50"/>
        </w:numPr>
      </w:pPr>
      <w:r>
        <w:t xml:space="preserve">Seek Actual Damages in such amounts and on such basis for the default as authorized by this </w:t>
      </w:r>
      <w:proofErr w:type="gramStart"/>
      <w:r>
        <w:t>PPA;</w:t>
      </w:r>
      <w:proofErr w:type="gramEnd"/>
    </w:p>
    <w:p w:rsidR="0079779A" w:rsidRDefault="003E5439" w14:paraId="5690A583" w14:textId="77777777">
      <w:pPr>
        <w:pStyle w:val="ArticleL4"/>
        <w:keepNext w:val="0"/>
        <w:numPr>
          <w:ilvl w:val="0"/>
          <w:numId w:val="50"/>
        </w:numPr>
      </w:pPr>
      <w:r>
        <w:t xml:space="preserve">Offset against any payments due to Seller, any Actual </w:t>
      </w:r>
      <w:proofErr w:type="gramStart"/>
      <w:r>
        <w:t>Damages</w:t>
      </w:r>
      <w:proofErr w:type="gramEnd"/>
      <w:r>
        <w:t xml:space="preserve"> and other amounts due from Seller; and/or</w:t>
      </w:r>
    </w:p>
    <w:p w:rsidR="0079779A" w:rsidRDefault="003E5439" w14:paraId="062A6C82" w14:textId="77777777">
      <w:pPr>
        <w:pStyle w:val="ArticleL4"/>
        <w:keepNext w:val="0"/>
        <w:numPr>
          <w:ilvl w:val="0"/>
          <w:numId w:val="50"/>
        </w:numPr>
      </w:pPr>
      <w:r>
        <w:t>Draw any Actual Damages and other amounts due from Seller, from the Security Fund.</w:t>
      </w:r>
    </w:p>
    <w:p w:rsidR="0079779A" w:rsidRDefault="003E5439" w14:paraId="24916981" w14:textId="77777777">
      <w:pPr>
        <w:pStyle w:val="ArticleL3"/>
        <w:keepNext w:val="0"/>
      </w:pPr>
      <w:r>
        <w:rPr>
          <w:i/>
          <w:u w:val="single"/>
        </w:rPr>
        <w:t>Termination for Event of Default</w:t>
      </w:r>
      <w:r>
        <w:t xml:space="preserve">.  Upon and at any time following an Event of Default by Seller under this </w:t>
      </w:r>
      <w:r>
        <w:rPr>
          <w:u w:val="single"/>
        </w:rPr>
        <w:t>Section 12.1</w:t>
      </w:r>
      <w:r>
        <w:t xml:space="preserve">, in addition to its rights under </w:t>
      </w:r>
      <w:r>
        <w:rPr>
          <w:u w:val="single"/>
        </w:rPr>
        <w:t>Section 12.1(B)</w:t>
      </w:r>
      <w:r>
        <w:t xml:space="preserve"> above, Company may terminate this PPA immediately upon notice to Seller, without penalty or further obligation to Seller.  In connection with any such termination, Company may collect from Seller (subject to the Damage Cap) all Actual Damages arising from such Event of Default through the Scheduled Termination Date.</w:t>
      </w:r>
    </w:p>
    <w:p w:rsidR="0079779A" w:rsidRDefault="003E5439" w14:paraId="79894F21" w14:textId="77777777">
      <w:pPr>
        <w:pStyle w:val="ArticleL3"/>
        <w:keepNext w:val="0"/>
      </w:pPr>
      <w:r>
        <w:rPr>
          <w:i/>
          <w:u w:val="single"/>
        </w:rPr>
        <w:t>Specific Performance</w:t>
      </w:r>
      <w:r>
        <w:t xml:space="preserve">.  In addition to the other remedies specified herein, upon any Event of Default of Seller under this </w:t>
      </w:r>
      <w:r>
        <w:rPr>
          <w:u w:val="single"/>
        </w:rPr>
        <w:t>Section 12.1</w:t>
      </w:r>
      <w:r>
        <w:t xml:space="preserve">, Company may elect to treat this PPA as being in full force and effect and Company shall have the right to specific performance. </w:t>
      </w:r>
    </w:p>
    <w:p w:rsidR="0079779A" w:rsidRDefault="003E5439" w14:paraId="23AD99F4" w14:textId="77777777">
      <w:pPr>
        <w:pStyle w:val="ArticleL2"/>
        <w:keepNext w:val="0"/>
      </w:pPr>
      <w:bookmarkStart w:name="_Toc433954009" w:id="301"/>
      <w:bookmarkStart w:name="_Toc433954167" w:id="302"/>
      <w:bookmarkStart w:name="_Toc288027283" w:id="303"/>
      <w:bookmarkEnd w:id="298"/>
      <w:r>
        <w:rPr>
          <w:u w:val="single"/>
        </w:rPr>
        <w:t>Default by Seller: Failure to Achieve COD</w:t>
      </w:r>
      <w:r>
        <w:fldChar w:fldCharType="begin"/>
      </w:r>
      <w:r>
        <w:instrText>tc "</w:instrText>
      </w:r>
      <w:bookmarkStart w:name="_Toc531859647" w:id="304"/>
      <w:bookmarkStart w:name="_Toc119238949" w:id="305"/>
      <w:r>
        <w:instrText>12.2</w:instrText>
      </w:r>
      <w:r>
        <w:tab/>
        <w:instrText>Default by Seller: Failure to Achieve COD</w:instrText>
      </w:r>
      <w:bookmarkEnd w:id="304"/>
      <w:bookmarkEnd w:id="305"/>
      <w:r>
        <w:instrText>” \f C \l 2</w:instrText>
      </w:r>
      <w:r>
        <w:fldChar w:fldCharType="end"/>
      </w:r>
      <w:r>
        <w:t>.</w:t>
      </w:r>
      <w:bookmarkEnd w:id="301"/>
      <w:bookmarkEnd w:id="302"/>
      <w:r>
        <w:t xml:space="preserve">  </w:t>
      </w:r>
    </w:p>
    <w:p w:rsidR="0079779A" w:rsidRDefault="003E5439" w14:paraId="55F7EDF2" w14:textId="77777777">
      <w:pPr>
        <w:pStyle w:val="ArticleL3"/>
        <w:keepNext w:val="0"/>
      </w:pPr>
      <w:r>
        <w:rPr>
          <w:i/>
          <w:u w:val="single"/>
        </w:rPr>
        <w:t>COD Delay</w:t>
      </w:r>
      <w:r>
        <w:t>.  Seller shall be in default under this PPA if the Facility fails to achieve COD by the Target COD (“</w:t>
      </w:r>
      <w:r>
        <w:rPr>
          <w:u w:val="single"/>
        </w:rPr>
        <w:t>COD Delay</w:t>
      </w:r>
      <w:r>
        <w:t xml:space="preserve">”).  Seller shall be liable to pay </w:t>
      </w:r>
      <w:r>
        <w:rPr>
          <w:i/>
        </w:rPr>
        <w:t>[</w:t>
      </w:r>
      <w:r>
        <w:rPr>
          <w:i/>
          <w:highlight w:val="yellow"/>
        </w:rPr>
        <w:t>insert $[250]/MW x Battery Storage System Nameplate Capacity MW</w:t>
      </w:r>
      <w:r>
        <w:rPr>
          <w:i/>
        </w:rPr>
        <w:t>]</w:t>
      </w:r>
      <w:r>
        <w:t xml:space="preserve"> per Day (“</w:t>
      </w:r>
      <w:r>
        <w:rPr>
          <w:u w:val="single"/>
        </w:rPr>
        <w:t>Liquidated Delay Damages</w:t>
      </w:r>
      <w:r>
        <w:t xml:space="preserve">”) to Company as a liquidated damage and not a penalty, in lieu of Actual Damages, for any COD Delay.  Except as provided in </w:t>
      </w:r>
      <w:r>
        <w:rPr>
          <w:u w:val="single"/>
        </w:rPr>
        <w:t>Section 12.2(C)</w:t>
      </w:r>
      <w:r>
        <w:t xml:space="preserve"> below, the payment of Liquidated Delay Damages shall be Company’s sole and exclusive remedy for a COD Delay.  Liquidated Delay Damages shall begin to accrue on the Day after the Target COD (as it may be extended due to Force Majeure) until the first to occur of COD or termination of this PPA pursuant to </w:t>
      </w:r>
      <w:r>
        <w:rPr>
          <w:u w:val="single"/>
        </w:rPr>
        <w:t>Section 12.2(C)</w:t>
      </w:r>
      <w:r>
        <w:t xml:space="preserve"> below.  </w:t>
      </w:r>
    </w:p>
    <w:p w:rsidR="0079779A" w:rsidRDefault="003E5439" w14:paraId="2370419F" w14:textId="77777777">
      <w:pPr>
        <w:pStyle w:val="ArticleL3"/>
        <w:keepNext w:val="0"/>
      </w:pPr>
      <w:r>
        <w:rPr>
          <w:i/>
          <w:u w:val="single"/>
        </w:rPr>
        <w:t>Cure</w:t>
      </w:r>
      <w:r>
        <w:t xml:space="preserve">.  Seller shall have a cure period of forty-five (45) Days for its failure to achieve Commercial Operation by the Target COD, </w:t>
      </w:r>
      <w:r>
        <w:rPr>
          <w:i/>
        </w:rPr>
        <w:t xml:space="preserve">provided, however, </w:t>
      </w:r>
      <w:r>
        <w:t>that</w:t>
      </w:r>
      <w:r>
        <w:rPr>
          <w:i/>
        </w:rPr>
        <w:t xml:space="preserve"> </w:t>
      </w:r>
      <w:r>
        <w:t>if during such period Seller provides a written opinion from a mutually-agreeable Independent Engineer that COD can reasonably be achieved within an additional forty-five (45) Day period, then Seller’s cure period to achieve Commercial Operation shall be no more than ninety (90) Days after the Target COD.  Seller’s payment of accrued Liquidated Delay Damages shall be a condition to any such cure.</w:t>
      </w:r>
    </w:p>
    <w:p w:rsidR="0079779A" w:rsidRDefault="003E5439" w14:paraId="24922909" w14:textId="77777777">
      <w:pPr>
        <w:pStyle w:val="ArticleL3"/>
        <w:keepNext w:val="0"/>
      </w:pPr>
      <w:r>
        <w:rPr>
          <w:i/>
          <w:u w:val="single"/>
        </w:rPr>
        <w:t>Termination</w:t>
      </w:r>
      <w:r>
        <w:t xml:space="preserve">.  Failure to cure a COD Delay within the applicable cure period set forth in </w:t>
      </w:r>
      <w:r>
        <w:rPr>
          <w:u w:val="single"/>
        </w:rPr>
        <w:t>Section 12.2(B)</w:t>
      </w:r>
      <w:r>
        <w:t xml:space="preserve"> shall be an Event of Default by Seller.  Upon such an Event of Default, Company may (i) terminate this PPA immediately upon notice to Seller, without penalty or further obligation to Seller except as to costs and balances incurred prior to the effective date of such termination, and (ii) in connection therewith, in addition to accrued Liquidated Delay Damages but in lieu of Actual Damages for the balance of </w:t>
      </w:r>
      <w:r>
        <w:lastRenderedPageBreak/>
        <w:t xml:space="preserve">the Term, collect from Seller liquidated damages therefor in the amount of </w:t>
      </w:r>
      <w:r>
        <w:rPr>
          <w:i/>
        </w:rPr>
        <w:t>[</w:t>
      </w:r>
      <w:r>
        <w:rPr>
          <w:i/>
          <w:highlight w:val="yellow"/>
        </w:rPr>
        <w:t>insert $[100]/kW x Battery Storage System Nameplate Capacity kW</w:t>
      </w:r>
      <w:r>
        <w:rPr>
          <w:i/>
        </w:rPr>
        <w:t xml:space="preserve">] </w:t>
      </w:r>
      <w:r>
        <w:rPr>
          <w:iCs/>
        </w:rPr>
        <w:t>(“</w:t>
      </w:r>
      <w:r>
        <w:rPr>
          <w:iCs/>
          <w:u w:val="single"/>
        </w:rPr>
        <w:t>Termination LDs</w:t>
      </w:r>
      <w:r>
        <w:rPr>
          <w:iCs/>
        </w:rPr>
        <w:t>”)</w:t>
      </w:r>
      <w:r>
        <w:t xml:space="preserve">.   </w:t>
      </w:r>
    </w:p>
    <w:p w:rsidR="0079779A" w:rsidRDefault="003E5439" w14:paraId="163D018F" w14:textId="77777777">
      <w:pPr>
        <w:pStyle w:val="ArticleL2"/>
        <w:keepNext w:val="0"/>
      </w:pPr>
      <w:bookmarkStart w:name="_Toc433954010" w:id="306"/>
      <w:bookmarkStart w:name="_Toc433954168" w:id="307"/>
      <w:r>
        <w:rPr>
          <w:u w:val="single"/>
        </w:rPr>
        <w:t>Default by Company</w:t>
      </w:r>
      <w:r>
        <w:fldChar w:fldCharType="begin"/>
      </w:r>
      <w:r>
        <w:instrText>tc "</w:instrText>
      </w:r>
      <w:bookmarkStart w:name="_Toc531859648" w:id="308"/>
      <w:bookmarkStart w:name="_Toc119238950" w:id="309"/>
      <w:r>
        <w:instrText>12.3</w:instrText>
      </w:r>
      <w:r>
        <w:tab/>
        <w:instrText>Default by Company</w:instrText>
      </w:r>
      <w:bookmarkEnd w:id="308"/>
      <w:bookmarkEnd w:id="309"/>
      <w:r>
        <w:instrText>” \f C \l 2</w:instrText>
      </w:r>
      <w:r>
        <w:fldChar w:fldCharType="end"/>
      </w:r>
      <w:r>
        <w:t>.</w:t>
      </w:r>
      <w:bookmarkEnd w:id="306"/>
      <w:bookmarkEnd w:id="307"/>
      <w:r>
        <w:t xml:space="preserve">  </w:t>
      </w:r>
    </w:p>
    <w:p w:rsidR="0079779A" w:rsidRDefault="003E5439" w14:paraId="3D7182C5" w14:textId="77777777">
      <w:pPr>
        <w:pStyle w:val="ArticleL3"/>
        <w:keepNext w:val="0"/>
      </w:pPr>
      <w:r>
        <w:rPr>
          <w:i/>
          <w:u w:val="single"/>
        </w:rPr>
        <w:t>Events</w:t>
      </w:r>
      <w:r>
        <w:t xml:space="preserve">.  Any of the following events shall constitute a default by Company under this PPA.   If no cure period is provided below, such default shall be deemed an Event of Default by Company immediately upon its occurrence.  If a cure period is provided below, such default shall mature into an Event of Default if not cured within the indicated cure period, subject to </w:t>
      </w:r>
      <w:r>
        <w:rPr>
          <w:u w:val="single"/>
        </w:rPr>
        <w:t>Section 13.3</w:t>
      </w:r>
      <w:r>
        <w:t xml:space="preserve"> below. </w:t>
      </w:r>
    </w:p>
    <w:p w:rsidR="0079779A" w:rsidRDefault="003E5439" w14:paraId="46B2A5C5" w14:textId="77777777">
      <w:pPr>
        <w:pStyle w:val="ArticleL4"/>
        <w:keepNext w:val="0"/>
        <w:numPr>
          <w:ilvl w:val="0"/>
          <w:numId w:val="51"/>
        </w:numPr>
        <w:ind w:left="0" w:firstLine="1260"/>
      </w:pPr>
      <w:r>
        <w:t xml:space="preserve">Company’s application for, or consent (by admission of material allegations of a petition or otherwise) to, the appointment of a receiver, </w:t>
      </w:r>
      <w:proofErr w:type="gramStart"/>
      <w:r>
        <w:t>trustee</w:t>
      </w:r>
      <w:proofErr w:type="gramEnd"/>
      <w:r>
        <w:t xml:space="preserve"> or liquidator for Company or for all or substantially all of its assets, or its authorization of such application or consent, or the commencement of any proceedings seeking such appointment without such authorization, consent or application, which proceedings continue undismissed or unstayed for a period of sixty (60) Days from inception.  </w:t>
      </w:r>
    </w:p>
    <w:p w:rsidR="0079779A" w:rsidRDefault="003E5439" w14:paraId="4E8E471D" w14:textId="77777777">
      <w:pPr>
        <w:pStyle w:val="ArticleL4"/>
        <w:keepNext w:val="0"/>
        <w:numPr>
          <w:ilvl w:val="0"/>
          <w:numId w:val="0"/>
        </w:numPr>
        <w:ind w:left="2520"/>
      </w:pPr>
      <w:r>
        <w:t xml:space="preserve">Cure Period:  </w:t>
      </w:r>
      <w:r>
        <w:tab/>
        <w:t>None.</w:t>
      </w:r>
    </w:p>
    <w:p w:rsidR="0079779A" w:rsidRDefault="003E5439" w14:paraId="434B077D" w14:textId="77777777">
      <w:pPr>
        <w:pStyle w:val="ArticleL4"/>
        <w:keepNext w:val="0"/>
        <w:numPr>
          <w:ilvl w:val="0"/>
          <w:numId w:val="51"/>
        </w:numPr>
        <w:ind w:left="0" w:firstLine="1260"/>
      </w:pPr>
      <w:r>
        <w:t xml:space="preserve">Company’s authorization or filing of a voluntary petition in bankruptcy or application for or consent (by admission of material allegations of a petition or otherwise) to the application of any bankruptcy, reorganization, readjustment of debt, insolvency, dissolution, liquidation or other similar law of any jurisdiction or the institution of such proceedings against Company without such authorization, application or consent, which proceedings remain undismissed or unstayed for sixty (60) Days from inception or which result in adjudication of bankruptcy or insolvency within such time.  </w:t>
      </w:r>
    </w:p>
    <w:p w:rsidR="0079779A" w:rsidRDefault="003E5439" w14:paraId="306B2C17" w14:textId="77777777">
      <w:pPr>
        <w:pStyle w:val="ArticleL4"/>
        <w:keepNext w:val="0"/>
        <w:numPr>
          <w:ilvl w:val="0"/>
          <w:numId w:val="0"/>
        </w:numPr>
        <w:ind w:left="2520"/>
      </w:pPr>
      <w:r>
        <w:t xml:space="preserve">Cure Period:  </w:t>
      </w:r>
      <w:r>
        <w:tab/>
        <w:t>None.</w:t>
      </w:r>
    </w:p>
    <w:p w:rsidR="0079779A" w:rsidRDefault="003E5439" w14:paraId="1A87347E" w14:textId="77777777">
      <w:pPr>
        <w:pStyle w:val="ArticleL4"/>
        <w:keepNext w:val="0"/>
        <w:numPr>
          <w:ilvl w:val="0"/>
          <w:numId w:val="51"/>
        </w:numPr>
        <w:ind w:left="0" w:firstLine="1260"/>
      </w:pPr>
      <w:r>
        <w:t xml:space="preserve">Company’s assignment of this PPA, not permitted by </w:t>
      </w:r>
      <w:r>
        <w:rPr>
          <w:u w:val="single"/>
        </w:rPr>
        <w:t>Section 19.2</w:t>
      </w:r>
      <w:r>
        <w:t xml:space="preserve">.  </w:t>
      </w:r>
    </w:p>
    <w:p w:rsidR="0079779A" w:rsidRDefault="003E5439" w14:paraId="4FF579D9" w14:textId="77777777">
      <w:pPr>
        <w:pStyle w:val="ArticleL4"/>
        <w:keepNext w:val="0"/>
        <w:numPr>
          <w:ilvl w:val="0"/>
          <w:numId w:val="0"/>
        </w:numPr>
        <w:ind w:left="2520"/>
      </w:pPr>
      <w:r>
        <w:t xml:space="preserve">Cure Period:  </w:t>
      </w:r>
      <w:r>
        <w:tab/>
        <w:t>None.</w:t>
      </w:r>
    </w:p>
    <w:p w:rsidR="0079779A" w:rsidRDefault="003E5439" w14:paraId="17505CE4" w14:textId="77777777">
      <w:pPr>
        <w:pStyle w:val="ArticleL4"/>
        <w:keepNext w:val="0"/>
        <w:numPr>
          <w:ilvl w:val="0"/>
          <w:numId w:val="51"/>
        </w:numPr>
        <w:ind w:left="0" w:firstLine="1260"/>
      </w:pPr>
      <w:r>
        <w:t xml:space="preserve">Any representation or warranty by Company in this PPA that has a Material Adverse Effect on Company’s ability to perform this PPA is proven to have been false in any material respect when made.  </w:t>
      </w:r>
    </w:p>
    <w:p w:rsidR="0079779A" w:rsidRDefault="003E5439" w14:paraId="01084F41" w14:textId="77777777">
      <w:pPr>
        <w:pStyle w:val="ArticleL4"/>
        <w:keepNext w:val="0"/>
        <w:numPr>
          <w:ilvl w:val="0"/>
          <w:numId w:val="0"/>
        </w:numPr>
        <w:ind w:left="2520"/>
      </w:pPr>
      <w:r>
        <w:t xml:space="preserve">Cure Period: </w:t>
      </w:r>
      <w:r>
        <w:tab/>
        <w:t xml:space="preserve">None. </w:t>
      </w:r>
    </w:p>
    <w:p w:rsidR="0079779A" w:rsidRDefault="003E5439" w14:paraId="36D51B79" w14:textId="77777777">
      <w:pPr>
        <w:pStyle w:val="ArticleL4"/>
        <w:keepNext w:val="0"/>
        <w:numPr>
          <w:ilvl w:val="0"/>
          <w:numId w:val="51"/>
        </w:numPr>
        <w:ind w:left="0" w:firstLine="1260"/>
      </w:pPr>
      <w:r>
        <w:t>Company’s</w:t>
      </w:r>
      <w:r>
        <w:rPr>
          <w:lang w:val="en-CA"/>
        </w:rPr>
        <w:t xml:space="preserve"> failure to make any payment to Seller as and when required by this PPA, including invoiced amounts, Actual </w:t>
      </w:r>
      <w:proofErr w:type="gramStart"/>
      <w:r>
        <w:rPr>
          <w:lang w:val="en-CA"/>
        </w:rPr>
        <w:t>Damages</w:t>
      </w:r>
      <w:proofErr w:type="gramEnd"/>
      <w:r>
        <w:rPr>
          <w:lang w:val="en-CA"/>
        </w:rPr>
        <w:t xml:space="preserve"> and any required indemnification.   </w:t>
      </w:r>
    </w:p>
    <w:p w:rsidR="0079779A" w:rsidRDefault="003E5439" w14:paraId="288BC6E7" w14:textId="77777777">
      <w:pPr>
        <w:pStyle w:val="ArticleL4"/>
        <w:keepNext w:val="0"/>
        <w:numPr>
          <w:ilvl w:val="0"/>
          <w:numId w:val="0"/>
        </w:numPr>
        <w:ind w:left="2520"/>
      </w:pPr>
      <w:r>
        <w:rPr>
          <w:i/>
          <w:lang w:val="en-CA"/>
        </w:rPr>
        <w:t>Cure Period</w:t>
      </w:r>
      <w:r>
        <w:rPr>
          <w:lang w:val="en-CA"/>
        </w:rPr>
        <w:t xml:space="preserve">: </w:t>
      </w:r>
      <w:r>
        <w:rPr>
          <w:lang w:val="en-CA"/>
        </w:rPr>
        <w:tab/>
        <w:t>Ten (10) Business Days after Seller provides notice that the amount is overdue.</w:t>
      </w:r>
    </w:p>
    <w:p w:rsidR="0079779A" w:rsidRDefault="003E5439" w14:paraId="155A57F9" w14:textId="77777777">
      <w:pPr>
        <w:pStyle w:val="ArticleL4"/>
        <w:keepNext w:val="0"/>
        <w:numPr>
          <w:ilvl w:val="0"/>
          <w:numId w:val="51"/>
        </w:numPr>
        <w:ind w:left="0" w:firstLine="1260"/>
      </w:pPr>
      <w:r>
        <w:t xml:space="preserve">Any representation or warranty by Company in this PPA that has a Material Adverse Effect on Company’s ability to perform this PPA ceases to remain true during the Term, other than due to a change of law.  </w:t>
      </w:r>
    </w:p>
    <w:p w:rsidR="0079779A" w:rsidRDefault="003E5439" w14:paraId="45EDACF2" w14:textId="77777777">
      <w:pPr>
        <w:pStyle w:val="ArticleL4"/>
        <w:keepNext w:val="0"/>
        <w:numPr>
          <w:ilvl w:val="0"/>
          <w:numId w:val="0"/>
        </w:numPr>
        <w:ind w:left="2520"/>
      </w:pPr>
      <w:r>
        <w:rPr>
          <w:i/>
        </w:rPr>
        <w:lastRenderedPageBreak/>
        <w:t>Cure Period</w:t>
      </w:r>
      <w:r>
        <w:t xml:space="preserve">: </w:t>
      </w:r>
      <w:r>
        <w:tab/>
        <w:t>Thirty (30) Days after Seller provides notice of such breach.</w:t>
      </w:r>
    </w:p>
    <w:p w:rsidR="0079779A" w:rsidRDefault="003E5439" w14:paraId="4A109050" w14:textId="77777777">
      <w:pPr>
        <w:pStyle w:val="ArticleL4"/>
        <w:keepNext w:val="0"/>
        <w:numPr>
          <w:ilvl w:val="0"/>
          <w:numId w:val="51"/>
        </w:numPr>
        <w:ind w:left="0" w:firstLine="1260"/>
      </w:pPr>
      <w:r>
        <w:rPr>
          <w:lang w:val="en-CA"/>
        </w:rPr>
        <w:t xml:space="preserve">The failure by Company to perform or observe any other material obligation to Seller under </w:t>
      </w:r>
      <w:r>
        <w:t>this</w:t>
      </w:r>
      <w:r>
        <w:rPr>
          <w:lang w:val="en-CA"/>
        </w:rPr>
        <w:t xml:space="preserve"> PPA, unexcused by Force Majeure.   </w:t>
      </w:r>
    </w:p>
    <w:p w:rsidR="0079779A" w:rsidRDefault="003E5439" w14:paraId="787D2314" w14:textId="77777777">
      <w:pPr>
        <w:pStyle w:val="ArticleL4"/>
        <w:keepNext w:val="0"/>
        <w:numPr>
          <w:ilvl w:val="0"/>
          <w:numId w:val="0"/>
        </w:numPr>
        <w:ind w:left="2520"/>
      </w:pPr>
      <w:r>
        <w:rPr>
          <w:i/>
          <w:lang w:val="en-CA"/>
        </w:rPr>
        <w:t>Cure Period</w:t>
      </w:r>
      <w:r>
        <w:rPr>
          <w:lang w:val="en-CA"/>
        </w:rPr>
        <w:t xml:space="preserve">: </w:t>
      </w:r>
      <w:r>
        <w:rPr>
          <w:lang w:val="en-CA"/>
        </w:rPr>
        <w:tab/>
        <w:t xml:space="preserve">Thirty (30) Days after Seller provides notice thereof; </w:t>
      </w:r>
      <w:r>
        <w:rPr>
          <w:i/>
          <w:lang w:val="en-CA"/>
        </w:rPr>
        <w:t>provided</w:t>
      </w:r>
      <w:r>
        <w:rPr>
          <w:lang w:val="en-CA"/>
        </w:rPr>
        <w:t xml:space="preserve">, that if such default is not reasonably capable of cure within such thirty (30) Day period, Company shall have such additional period of time </w:t>
      </w:r>
      <w:r>
        <w:t>(not to exceed ninety (90) Days in any event) as is reasonably necessary for cure, so long as Company initiates cure within such thirty (30) Day period and diligently prosecutes the cure to conclusion thereafter.</w:t>
      </w:r>
    </w:p>
    <w:p w:rsidR="0079779A" w:rsidRDefault="003E5439" w14:paraId="73B7A42F" w14:textId="77777777">
      <w:pPr>
        <w:pStyle w:val="ArticleL3"/>
        <w:keepNext w:val="0"/>
      </w:pPr>
      <w:r>
        <w:rPr>
          <w:i/>
          <w:u w:val="single"/>
        </w:rPr>
        <w:t>Remedies for Default</w:t>
      </w:r>
      <w:r>
        <w:fldChar w:fldCharType="begin"/>
      </w:r>
      <w:r>
        <w:instrText xml:space="preserve"> TC </w:instrText>
      </w:r>
      <w:r>
        <w:fldChar w:fldCharType="end"/>
      </w:r>
      <w:r>
        <w:t xml:space="preserve">.  In connection with any default by Company (whether or not cured by Company), Seller may   </w:t>
      </w:r>
    </w:p>
    <w:p w:rsidR="0079779A" w:rsidRDefault="003E5439" w14:paraId="67228AE5" w14:textId="77777777">
      <w:pPr>
        <w:pStyle w:val="ArticleL4"/>
        <w:keepNext w:val="0"/>
        <w:numPr>
          <w:ilvl w:val="0"/>
          <w:numId w:val="52"/>
        </w:numPr>
      </w:pPr>
      <w:r>
        <w:t>Seek Actual Damages in such amounts and on such basis for the default as authorized by this PPA; and/or</w:t>
      </w:r>
    </w:p>
    <w:p w:rsidR="0079779A" w:rsidRDefault="003E5439" w14:paraId="33375BB8" w14:textId="77777777">
      <w:pPr>
        <w:pStyle w:val="ArticleL4"/>
        <w:keepNext w:val="0"/>
        <w:numPr>
          <w:ilvl w:val="0"/>
          <w:numId w:val="52"/>
        </w:numPr>
      </w:pPr>
      <w:r>
        <w:t xml:space="preserve">Offset against any payments due to Company, any Actual </w:t>
      </w:r>
      <w:proofErr w:type="gramStart"/>
      <w:r>
        <w:t>Damages</w:t>
      </w:r>
      <w:proofErr w:type="gramEnd"/>
      <w:r>
        <w:t xml:space="preserve"> and other amounts due from Company.</w:t>
      </w:r>
    </w:p>
    <w:p w:rsidR="0079779A" w:rsidRDefault="003E5439" w14:paraId="6DC6643A" w14:textId="77777777">
      <w:pPr>
        <w:pStyle w:val="ArticleL3"/>
        <w:keepNext w:val="0"/>
      </w:pPr>
      <w:r>
        <w:rPr>
          <w:i/>
          <w:u w:val="single"/>
        </w:rPr>
        <w:t>Termination for Event of Default</w:t>
      </w:r>
      <w:r>
        <w:t xml:space="preserve">.  Upon an Event of Default by Company, in addition to its rights under </w:t>
      </w:r>
      <w:r>
        <w:rPr>
          <w:u w:val="single"/>
        </w:rPr>
        <w:t>Section 12.3(B)</w:t>
      </w:r>
      <w:r>
        <w:t xml:space="preserve"> above, Seller may terminate this PPA immediately upon notice to Company, without penalty or further obligation to Company, and in connection therewith, collect from Company all Actual Damages arising from such Event of Default through the Scheduled Termination Date.</w:t>
      </w:r>
    </w:p>
    <w:p w:rsidR="0079779A" w:rsidRDefault="003E5439" w14:paraId="6F0002B9" w14:textId="77777777">
      <w:pPr>
        <w:pStyle w:val="ArticleL2"/>
        <w:keepNext w:val="0"/>
      </w:pPr>
      <w:bookmarkStart w:name="_Toc433954011" w:id="310"/>
      <w:bookmarkStart w:name="_Toc433954169" w:id="311"/>
      <w:r>
        <w:rPr>
          <w:u w:val="single"/>
        </w:rPr>
        <w:t>Limitations on Damages</w:t>
      </w:r>
      <w:r>
        <w:fldChar w:fldCharType="begin"/>
      </w:r>
      <w:r>
        <w:instrText>tc "</w:instrText>
      </w:r>
      <w:bookmarkStart w:name="_Toc531859649" w:id="312"/>
      <w:bookmarkStart w:name="_Toc119238951" w:id="313"/>
      <w:r>
        <w:instrText>12.4</w:instrText>
      </w:r>
      <w:r>
        <w:tab/>
        <w:instrText>Limitations on Damages</w:instrText>
      </w:r>
      <w:bookmarkEnd w:id="312"/>
      <w:bookmarkEnd w:id="313"/>
      <w:r>
        <w:instrText>” \f C \l 2</w:instrText>
      </w:r>
      <w:r>
        <w:fldChar w:fldCharType="end"/>
      </w:r>
      <w:r>
        <w:t>.</w:t>
      </w:r>
      <w:bookmarkEnd w:id="310"/>
      <w:bookmarkEnd w:id="311"/>
      <w:r>
        <w:t xml:space="preserve">  </w:t>
      </w:r>
      <w:bookmarkEnd w:id="303"/>
    </w:p>
    <w:p w:rsidR="0079779A" w:rsidRDefault="003E5439" w14:paraId="6E756492" w14:textId="77777777">
      <w:pPr>
        <w:pStyle w:val="ArticleL3"/>
        <w:keepNext w:val="0"/>
      </w:pPr>
      <w:r>
        <w:t xml:space="preserve">Except as otherwise provided in </w:t>
      </w:r>
      <w:r>
        <w:rPr>
          <w:u w:val="single"/>
        </w:rPr>
        <w:t>Section 12.4(B)</w:t>
      </w:r>
      <w:r>
        <w:t xml:space="preserve">, following COD Seller’s aggregate financial liability to Company for Actual Damages shall not exceed </w:t>
      </w:r>
      <w:r>
        <w:rPr>
          <w:i/>
          <w:highlight w:val="yellow"/>
        </w:rPr>
        <w:t>[insert $[75]/kW x Battery Storage System Nameplate Capacity</w:t>
      </w:r>
      <w:r>
        <w:rPr>
          <w:i/>
        </w:rPr>
        <w:t>]</w:t>
      </w:r>
      <w:r>
        <w:t xml:space="preserve"> (the “</w:t>
      </w:r>
      <w:r>
        <w:rPr>
          <w:u w:val="single"/>
        </w:rPr>
        <w:t>Damage Cap</w:t>
      </w:r>
      <w:r>
        <w:t xml:space="preserve">”).  If at any time following COD, Company incurs damages in excess of the Damage Cap that Seller does not pay when billed by Company, Company shall have the right to terminate this PPA upon notice to Seller, without further obligation by either Party except as to costs </w:t>
      </w:r>
      <w:proofErr w:type="gramStart"/>
      <w:r>
        <w:t>and</w:t>
      </w:r>
      <w:proofErr w:type="gramEnd"/>
      <w:r>
        <w:t xml:space="preserve"> balances incurred prior to the effective date of such termination.  </w:t>
      </w:r>
    </w:p>
    <w:p w:rsidR="0079779A" w:rsidRDefault="003E5439" w14:paraId="28A02E80" w14:textId="77777777">
      <w:pPr>
        <w:pStyle w:val="ArticleL3"/>
        <w:keepNext w:val="0"/>
      </w:pPr>
      <w:r>
        <w:t>Actual Damages payable by Seller arising out of any of the following events shall not be subject to the Damage Cap and shall not be credited against the Damage Cap:</w:t>
      </w:r>
    </w:p>
    <w:p w:rsidR="0079779A" w:rsidRDefault="003E5439" w14:paraId="2424A8E9" w14:textId="77777777">
      <w:pPr>
        <w:pStyle w:val="ArticleL4"/>
        <w:keepNext w:val="0"/>
        <w:numPr>
          <w:ilvl w:val="0"/>
          <w:numId w:val="53"/>
        </w:numPr>
        <w:ind w:left="0" w:firstLine="1260"/>
      </w:pPr>
      <w:r>
        <w:t xml:space="preserve">damage to Company-owned facilities proximately caused by negligence, breach of this PPA or misconduct by Seller, its directors, officers, employees and </w:t>
      </w:r>
      <w:proofErr w:type="gramStart"/>
      <w:r>
        <w:t>agents;</w:t>
      </w:r>
      <w:proofErr w:type="gramEnd"/>
    </w:p>
    <w:p w:rsidR="0079779A" w:rsidRDefault="003E5439" w14:paraId="2D70C644" w14:textId="77777777">
      <w:pPr>
        <w:pStyle w:val="ArticleL4"/>
        <w:keepNext w:val="0"/>
        <w:numPr>
          <w:ilvl w:val="0"/>
          <w:numId w:val="53"/>
        </w:numPr>
        <w:ind w:left="0" w:firstLine="1260"/>
      </w:pPr>
      <w:r>
        <w:t xml:space="preserve">Seller’s intentional misrepresentation or intentional misconduct in connection with this PPA or the operation of the </w:t>
      </w:r>
      <w:proofErr w:type="gramStart"/>
      <w:r>
        <w:t>Facility;</w:t>
      </w:r>
      <w:proofErr w:type="gramEnd"/>
    </w:p>
    <w:p w:rsidR="0079779A" w:rsidRDefault="003E5439" w14:paraId="5A72ED74" w14:textId="77777777">
      <w:pPr>
        <w:pStyle w:val="ArticleL4"/>
        <w:keepNext w:val="0"/>
        <w:numPr>
          <w:ilvl w:val="0"/>
          <w:numId w:val="53"/>
        </w:numPr>
        <w:ind w:left="0" w:firstLine="1260"/>
      </w:pPr>
      <w:r>
        <w:t xml:space="preserve">the sale or diversion by Seller to a third party of any Energy, capacity, or Ancillary Services from the Facility, excluding any sales in mitigation of </w:t>
      </w:r>
      <w:proofErr w:type="gramStart"/>
      <w:r>
        <w:t>damages;</w:t>
      </w:r>
      <w:proofErr w:type="gramEnd"/>
    </w:p>
    <w:p w:rsidR="0079779A" w:rsidRDefault="003E5439" w14:paraId="060C5150" w14:textId="77777777">
      <w:pPr>
        <w:pStyle w:val="ArticleL4"/>
        <w:keepNext w:val="0"/>
        <w:numPr>
          <w:ilvl w:val="0"/>
          <w:numId w:val="53"/>
        </w:numPr>
        <w:ind w:left="0" w:firstLine="1260"/>
      </w:pPr>
      <w:r>
        <w:lastRenderedPageBreak/>
        <w:t xml:space="preserve">Seller’s failure (i) to maintain insurance coverages in the types and amounts required by this PPA or (ii) to apply any insurance proceeds as required by </w:t>
      </w:r>
      <w:r>
        <w:rPr>
          <w:u w:val="single"/>
        </w:rPr>
        <w:t xml:space="preserve">Section </w:t>
      </w:r>
      <w:proofErr w:type="gramStart"/>
      <w:r>
        <w:rPr>
          <w:u w:val="single"/>
        </w:rPr>
        <w:t>16.5</w:t>
      </w:r>
      <w:r>
        <w:t>;</w:t>
      </w:r>
      <w:proofErr w:type="gramEnd"/>
    </w:p>
    <w:p w:rsidR="0079779A" w:rsidRDefault="003E5439" w14:paraId="21981932" w14:textId="77777777">
      <w:pPr>
        <w:pStyle w:val="ArticleL4"/>
        <w:keepNext w:val="0"/>
        <w:numPr>
          <w:ilvl w:val="0"/>
          <w:numId w:val="53"/>
        </w:numPr>
        <w:ind w:left="0" w:firstLine="1260"/>
      </w:pPr>
      <w:r>
        <w:t xml:space="preserve">any indemnification under this </w:t>
      </w:r>
      <w:proofErr w:type="gramStart"/>
      <w:r>
        <w:t>PPA;</w:t>
      </w:r>
      <w:proofErr w:type="gramEnd"/>
    </w:p>
    <w:p w:rsidR="0079779A" w:rsidRDefault="003E5439" w14:paraId="630B504E" w14:textId="77777777">
      <w:pPr>
        <w:pStyle w:val="ArticleL4"/>
        <w:keepNext w:val="0"/>
        <w:numPr>
          <w:ilvl w:val="0"/>
          <w:numId w:val="53"/>
        </w:numPr>
        <w:ind w:left="0" w:firstLine="1260"/>
      </w:pPr>
      <w:r>
        <w:t>any Environmental Contamination caused or exacerbated by Seller; or</w:t>
      </w:r>
    </w:p>
    <w:p w:rsidR="0079779A" w:rsidRDefault="003E5439" w14:paraId="4414A291" w14:textId="77777777">
      <w:pPr>
        <w:pStyle w:val="ArticleL4"/>
        <w:keepNext w:val="0"/>
        <w:numPr>
          <w:ilvl w:val="0"/>
          <w:numId w:val="53"/>
        </w:numPr>
        <w:ind w:left="0" w:firstLine="1260"/>
      </w:pPr>
      <w:r>
        <w:t xml:space="preserve">damages incurred by Company in connection with any bankruptcy or insolvency proceeding involving Seller, including Company’s loss of the benefit of its bargain due to rejection or other termination of this PPA in </w:t>
      </w:r>
      <w:proofErr w:type="gramStart"/>
      <w:r>
        <w:t>such  proceeding</w:t>
      </w:r>
      <w:proofErr w:type="gramEnd"/>
      <w:r>
        <w:t>.</w:t>
      </w:r>
    </w:p>
    <w:p w:rsidR="0079779A" w:rsidRDefault="003E5439" w14:paraId="66AD7388" w14:textId="77777777">
      <w:pPr>
        <w:pStyle w:val="ArticleL3"/>
        <w:keepNext w:val="0"/>
      </w:pPr>
      <w:r>
        <w:t>The Parties confirm that the express remedies and measures of damages provided in this PPA satisfy the essential purposes hereof.  If no remedy or measure of damages is expressly herein provided, the obligor’s liability shall be limited to all direct damages proximately caused by such default (“</w:t>
      </w:r>
      <w:r>
        <w:rPr>
          <w:u w:val="single"/>
        </w:rPr>
        <w:t>Actual Damages</w:t>
      </w:r>
      <w:r>
        <w:t xml:space="preserve">”) incurred by the non-defaulting Party, provided that if Seller is the defaulting Party, Actual Damages recoverable by Company hereunder may include Replacement Power Costs.   </w:t>
      </w:r>
      <w:r>
        <w:rPr>
          <w:b/>
        </w:rPr>
        <w:t>Neither Party shall be liable to the other Party for consequential, incidental, punitive, exemplary, special, treble, equitable or indirect damages, lost profits or other business interruption damages regardless of whether the relevant cause of action arises from statute, in tort or contract</w:t>
      </w:r>
      <w:r>
        <w:t xml:space="preserve"> (except to the extent expressly provided herein); </w:t>
      </w:r>
      <w:r>
        <w:rPr>
          <w:i/>
        </w:rPr>
        <w:t xml:space="preserve">provided, however, </w:t>
      </w:r>
      <w:r>
        <w:t xml:space="preserve">that if either Party is held liable to a third party for such damages and the Party held liable for such damages is entitled to indemnification from the other Party hereto, the indemnifying Party shall be liable for, and obligated to reimburse the indemnified Party for all such damages.  </w:t>
      </w:r>
    </w:p>
    <w:p w:rsidR="0079779A" w:rsidRDefault="003E5439" w14:paraId="273626F6" w14:textId="77777777">
      <w:pPr>
        <w:pStyle w:val="ArticleL3"/>
        <w:keepNext w:val="0"/>
      </w:pPr>
      <w:r>
        <w:t>To the extent damages required to be paid hereunder are liquidated, the Parties acknowledge that actual damages would be substantial but difficult or impossible to determine, that otherwise obtaining an adequate remedy is inconvenient, and that the liquidated damages constitute a reasonable approximation of the harm or loss.</w:t>
      </w:r>
    </w:p>
    <w:p w:rsidR="0079779A" w:rsidRDefault="003E5439" w14:paraId="63817D30" w14:textId="77777777">
      <w:pPr>
        <w:pStyle w:val="ArticleL2"/>
        <w:keepNext w:val="0"/>
      </w:pPr>
      <w:bookmarkStart w:name="_Toc433954014" w:id="314"/>
      <w:bookmarkStart w:name="_Toc433954172" w:id="315"/>
      <w:bookmarkStart w:name="_Toc288027285" w:id="316"/>
      <w:r>
        <w:rPr>
          <w:u w:val="single"/>
        </w:rPr>
        <w:t>Bankruptcy</w:t>
      </w:r>
      <w:r>
        <w:rPr>
          <w:color w:val="000000"/>
        </w:rPr>
        <w:fldChar w:fldCharType="begin"/>
      </w:r>
      <w:r>
        <w:rPr>
          <w:color w:val="000000"/>
        </w:rPr>
        <w:instrText>tc "</w:instrText>
      </w:r>
      <w:bookmarkStart w:name="_Toc531859651" w:id="317"/>
      <w:bookmarkStart w:name="_Toc119238952" w:id="318"/>
      <w:r>
        <w:rPr>
          <w:color w:val="000000"/>
        </w:rPr>
        <w:instrText>12.5</w:instrText>
      </w:r>
      <w:r>
        <w:rPr>
          <w:color w:val="000000"/>
        </w:rPr>
        <w:tab/>
        <w:instrText>Bankruptcy</w:instrText>
      </w:r>
      <w:bookmarkEnd w:id="317"/>
      <w:bookmarkEnd w:id="318"/>
      <w:r>
        <w:rPr>
          <w:color w:val="000000"/>
        </w:rPr>
        <w:instrText>” \f C \l 2</w:instrText>
      </w:r>
      <w:r>
        <w:rPr>
          <w:color w:val="000000"/>
        </w:rPr>
        <w:fldChar w:fldCharType="end"/>
      </w:r>
      <w:r>
        <w:t xml:space="preserve">.  This PPA grants each Party the contractual right to “cause the liquidation, termination or acceleration” of the transactions within the meaning of Sections 556, 560 and 561 of the U.S. Bankruptcy Code, as they may be amended superseded or replaced from time to time.  Upon a bankruptcy, a non-defaulting Party shall be entitled to exercise its rights and remedies under this PPA in accordance with the safe harbor provisions of the Bankruptcy Code set forth in, </w:t>
      </w:r>
      <w:r>
        <w:rPr>
          <w:i/>
        </w:rPr>
        <w:t>inter alia</w:t>
      </w:r>
      <w:r>
        <w:t xml:space="preserve">, Sections 362(b)(6), 362(b)(17), 362(b)(27), 362(o), 546(e), 548(d)(2), 556, 560 and 561, as they may be amended, </w:t>
      </w:r>
      <w:proofErr w:type="gramStart"/>
      <w:r>
        <w:t>superseded</w:t>
      </w:r>
      <w:proofErr w:type="gramEnd"/>
      <w:r>
        <w:t xml:space="preserve"> or replaced from time to time.</w:t>
      </w:r>
      <w:bookmarkEnd w:id="314"/>
      <w:bookmarkEnd w:id="315"/>
      <w:r>
        <w:t xml:space="preserve"> </w:t>
      </w:r>
    </w:p>
    <w:p w:rsidR="0079779A" w:rsidRDefault="003E5439" w14:paraId="79AC81C3" w14:textId="77777777">
      <w:pPr>
        <w:pStyle w:val="ArticleL2"/>
        <w:keepNext w:val="0"/>
      </w:pPr>
      <w:bookmarkStart w:name="_Toc433954015" w:id="319"/>
      <w:bookmarkStart w:name="_Toc433954173" w:id="320"/>
      <w:r>
        <w:rPr>
          <w:u w:val="single"/>
        </w:rPr>
        <w:t>Cumulative Remedies</w:t>
      </w:r>
      <w:r>
        <w:rPr>
          <w:color w:val="000000"/>
        </w:rPr>
        <w:fldChar w:fldCharType="begin"/>
      </w:r>
      <w:r>
        <w:rPr>
          <w:color w:val="000000"/>
        </w:rPr>
        <w:instrText>tc "</w:instrText>
      </w:r>
      <w:bookmarkStart w:name="_Toc531859652" w:id="321"/>
      <w:bookmarkStart w:name="_Toc119238953" w:id="322"/>
      <w:r>
        <w:rPr>
          <w:color w:val="000000"/>
        </w:rPr>
        <w:instrText>12.6</w:instrText>
      </w:r>
      <w:r>
        <w:rPr>
          <w:color w:val="000000"/>
        </w:rPr>
        <w:tab/>
        <w:instrText>Cumulative Remedies</w:instrText>
      </w:r>
      <w:bookmarkEnd w:id="321"/>
      <w:bookmarkEnd w:id="322"/>
      <w:r>
        <w:rPr>
          <w:color w:val="000000"/>
        </w:rPr>
        <w:instrText>” \f C \l 2</w:instrText>
      </w:r>
      <w:r>
        <w:rPr>
          <w:color w:val="000000"/>
        </w:rPr>
        <w:fldChar w:fldCharType="end"/>
      </w:r>
      <w:r>
        <w:t>.  Except as explicitly provided to the contrary in this PPA, each right or remedy of the Parties provided for in this PPA shall be cumulative of and shall be in addition to every other right or remedy provided for in this PPA, and the exercise of one or more or the rights or remedies provided for herein shall not preclude the simultaneous or later exercise by such Party of any other rights or remedies provided for herein</w:t>
      </w:r>
      <w:bookmarkEnd w:id="319"/>
      <w:bookmarkEnd w:id="320"/>
    </w:p>
    <w:p w:rsidR="0079779A" w:rsidRDefault="003E5439" w14:paraId="69FB022F" w14:textId="77777777">
      <w:pPr>
        <w:pStyle w:val="ArticleL2"/>
        <w:keepNext w:val="0"/>
      </w:pPr>
      <w:bookmarkStart w:name="_Toc433954016" w:id="323"/>
      <w:bookmarkStart w:name="_Toc433954174" w:id="324"/>
      <w:r>
        <w:rPr>
          <w:u w:val="single"/>
        </w:rPr>
        <w:lastRenderedPageBreak/>
        <w:t>Duty to Mitigate</w:t>
      </w:r>
      <w:r>
        <w:rPr>
          <w:color w:val="000000"/>
        </w:rPr>
        <w:fldChar w:fldCharType="begin"/>
      </w:r>
      <w:r>
        <w:rPr>
          <w:color w:val="000000"/>
        </w:rPr>
        <w:instrText>tc "</w:instrText>
      </w:r>
      <w:bookmarkStart w:name="_Toc531859653" w:id="325"/>
      <w:bookmarkStart w:name="_Toc119238954" w:id="326"/>
      <w:r>
        <w:rPr>
          <w:color w:val="000000"/>
        </w:rPr>
        <w:instrText>12.7</w:instrText>
      </w:r>
      <w:r>
        <w:rPr>
          <w:color w:val="000000"/>
        </w:rPr>
        <w:tab/>
        <w:instrText>Duty to Mitigate</w:instrText>
      </w:r>
      <w:bookmarkEnd w:id="325"/>
      <w:bookmarkEnd w:id="326"/>
      <w:r>
        <w:rPr>
          <w:color w:val="000000"/>
        </w:rPr>
        <w:instrText>” \f C \l 2</w:instrText>
      </w:r>
      <w:r>
        <w:rPr>
          <w:color w:val="000000"/>
        </w:rPr>
        <w:fldChar w:fldCharType="end"/>
      </w:r>
      <w:r>
        <w:t>.  Each Party shall use Commercially Reasonable Efforts to mitigate any damages it may incur as a result of a default by the other Party under this PPA.</w:t>
      </w:r>
      <w:bookmarkEnd w:id="316"/>
      <w:bookmarkEnd w:id="323"/>
      <w:bookmarkEnd w:id="324"/>
    </w:p>
    <w:p w:rsidR="0079779A" w:rsidRDefault="003E5439" w14:paraId="5D8FB816" w14:textId="77777777">
      <w:pPr>
        <w:pStyle w:val="ArticleL1"/>
        <w:keepNext w:val="0"/>
      </w:pPr>
      <w:bookmarkStart w:name="_Toc433954017" w:id="327"/>
      <w:bookmarkStart w:name="_Toc433954175" w:id="328"/>
      <w:bookmarkStart w:name="_Toc288027286" w:id="329"/>
      <w:r>
        <w:t>Dispute Resolution</w:t>
      </w:r>
      <w:bookmarkEnd w:id="327"/>
      <w:bookmarkEnd w:id="328"/>
      <w:r>
        <w:fldChar w:fldCharType="begin"/>
      </w:r>
      <w:r>
        <w:instrText>tc "</w:instrText>
      </w:r>
      <w:bookmarkStart w:name="_Toc531859654" w:id="330"/>
      <w:bookmarkStart w:name="_Toc119238955" w:id="331"/>
      <w:r>
        <w:instrText>Article 13 – Dispute Resolution</w:instrText>
      </w:r>
      <w:bookmarkEnd w:id="330"/>
      <w:bookmarkEnd w:id="331"/>
      <w:r>
        <w:instrText>” \f C \l 1</w:instrText>
      </w:r>
      <w:r>
        <w:fldChar w:fldCharType="end"/>
      </w:r>
      <w:r>
        <w:fldChar w:fldCharType="begin"/>
      </w:r>
      <w:r>
        <w:instrText xml:space="preserve"> TC </w:instrText>
      </w:r>
      <w:r>
        <w:fldChar w:fldCharType="end"/>
      </w:r>
    </w:p>
    <w:p w:rsidR="0079779A" w:rsidRDefault="003E5439" w14:paraId="6D961D39" w14:textId="77777777">
      <w:pPr>
        <w:pStyle w:val="ArticleL2"/>
        <w:keepNext w:val="0"/>
      </w:pPr>
      <w:bookmarkStart w:name="_Toc433954018" w:id="332"/>
      <w:bookmarkStart w:name="_Toc433954176" w:id="333"/>
      <w:r>
        <w:rPr>
          <w:u w:val="single"/>
        </w:rPr>
        <w:t>Negotiation</w:t>
      </w:r>
      <w:r>
        <w:fldChar w:fldCharType="begin"/>
      </w:r>
      <w:r>
        <w:instrText>tc "</w:instrText>
      </w:r>
      <w:bookmarkStart w:name="_Toc531859655" w:id="334"/>
      <w:bookmarkStart w:name="_Toc119238956" w:id="335"/>
      <w:r>
        <w:instrText>13.1</w:instrText>
      </w:r>
      <w:r>
        <w:tab/>
        <w:instrText>Negotiation</w:instrText>
      </w:r>
      <w:bookmarkEnd w:id="334"/>
      <w:bookmarkEnd w:id="335"/>
      <w:r>
        <w:instrText>” \f C \l 2</w:instrText>
      </w:r>
      <w:r>
        <w:fldChar w:fldCharType="end"/>
      </w:r>
      <w:r>
        <w:t>.</w:t>
      </w:r>
      <w:bookmarkEnd w:id="332"/>
      <w:bookmarkEnd w:id="333"/>
      <w:r>
        <w:t xml:space="preserve"> </w:t>
      </w:r>
    </w:p>
    <w:p w:rsidR="0079779A" w:rsidRDefault="003E5439" w14:paraId="32EC0FDD" w14:textId="77777777">
      <w:pPr>
        <w:pStyle w:val="ArticleL3"/>
        <w:keepNext w:val="0"/>
      </w:pPr>
      <w:r>
        <w:t>In the event of any dispute arising under or associated with the Parties’ performance of this PPA (a “</w:t>
      </w:r>
      <w:r>
        <w:rPr>
          <w:u w:val="single"/>
        </w:rPr>
        <w:t>Dispute</w:t>
      </w:r>
      <w:r>
        <w:t>”), within ten (10) Business Days following notice by either Party (a “</w:t>
      </w:r>
      <w:r>
        <w:rPr>
          <w:u w:val="single"/>
        </w:rPr>
        <w:t>Dispute Notice</w:t>
      </w:r>
      <w:r>
        <w:t xml:space="preserve">”), (i) each Party shall appoint a representative, and (ii) the representatives shall meet, </w:t>
      </w:r>
      <w:proofErr w:type="gramStart"/>
      <w:r>
        <w:t>negotiate</w:t>
      </w:r>
      <w:proofErr w:type="gramEnd"/>
      <w:r>
        <w:t xml:space="preserve"> and attempt in good faith to resolve the Dispute quickly, informally and inexpensively.  Any Dispute that is mutually agreed by the Parties (each acting in its sole and complete discretion) to involve engineering, </w:t>
      </w:r>
      <w:proofErr w:type="gramStart"/>
      <w:r>
        <w:t>construction</w:t>
      </w:r>
      <w:proofErr w:type="gramEnd"/>
      <w:r>
        <w:t xml:space="preserve"> or technical matters as the sole or primary area of disagreement between the Parties shall be deemed to be a “Technical Dispute” (each, a “</w:t>
      </w:r>
      <w:r>
        <w:rPr>
          <w:u w:val="single"/>
        </w:rPr>
        <w:t>Technical Dispute</w:t>
      </w:r>
      <w:r>
        <w:t xml:space="preserve">”).  The Parties agree that the technical expert for purposes of resolving any Technical Disputes shall be a mutually-agreeable Independent Engineer, the </w:t>
      </w:r>
      <w:proofErr w:type="gramStart"/>
      <w:r>
        <w:t>costs</w:t>
      </w:r>
      <w:proofErr w:type="gramEnd"/>
      <w:r>
        <w:t xml:space="preserve"> and expenses for which will be shared equally by the Parties.  The Independent Engineer may, if he or she deems it appropriate, hold a hearing on the subject of the Technical Dispute and shall, upon the request of either Party, meet with the Parties or their representatives with respect to such Technical Dispute within three (3) Business Days of the request for such meeting.  The Independent Engineer shall render a decision solely resolving the Technical Dispute within five (5) Business Days of the meeting with the Parties or their representatives or hearing (if any), or such longer period as the Parties and the Independent Engineer may agree. The decision of the Independent Engineer shall be advisory rather than final and binding on the Parties.</w:t>
      </w:r>
    </w:p>
    <w:p w:rsidR="0079779A" w:rsidRDefault="003E5439" w14:paraId="25296A60" w14:textId="77777777">
      <w:pPr>
        <w:pStyle w:val="ArticleL3"/>
        <w:keepNext w:val="0"/>
      </w:pPr>
      <w:r>
        <w:t xml:space="preserve">In the event the Parties’ representatives cannot resolve the Dispute, or if either Party is not satisfied with the resolution of the Technical Dispute by the Independent Engineer, within thirty (30) Days after the first meeting, either Party may request that consideration and resolution of the Dispute be transferred to senior management.  Within ten (10) Days following such a request, each Party shall submit a written summary of the Dispute describing the issues and claims to a senior officer of each Party designated to address the Dispute.  Within ten (10) Business Days after receipt of each Party’s Dispute summaries, the designated senior managers for both Parties shall negotiate in good faith to resolve the Dispute.  If such senior managers are unable to resolve the Dispute thereafter, either Party may seek available legal remedies, subject to </w:t>
      </w:r>
      <w:r>
        <w:rPr>
          <w:u w:val="single"/>
        </w:rPr>
        <w:t>Sections 13.3</w:t>
      </w:r>
      <w:r>
        <w:t xml:space="preserve"> and </w:t>
      </w:r>
      <w:r>
        <w:rPr>
          <w:u w:val="single"/>
        </w:rPr>
        <w:t>19.3.</w:t>
      </w:r>
      <w:r>
        <w:t xml:space="preserve"> </w:t>
      </w:r>
    </w:p>
    <w:p w:rsidR="0079779A" w:rsidRDefault="003E5439" w14:paraId="40E2BD97" w14:textId="77777777">
      <w:pPr>
        <w:pStyle w:val="ArticleL2"/>
        <w:keepNext w:val="0"/>
      </w:pPr>
      <w:bookmarkStart w:name="_Toc433954019" w:id="336"/>
      <w:bookmarkStart w:name="_Toc433954177" w:id="337"/>
      <w:r>
        <w:rPr>
          <w:u w:val="single"/>
        </w:rPr>
        <w:t>Time Bar</w:t>
      </w:r>
      <w:r>
        <w:rPr>
          <w:color w:val="000000"/>
        </w:rPr>
        <w:fldChar w:fldCharType="begin"/>
      </w:r>
      <w:r>
        <w:rPr>
          <w:color w:val="000000"/>
        </w:rPr>
        <w:instrText>tc "</w:instrText>
      </w:r>
      <w:bookmarkStart w:name="_Toc531859656" w:id="338"/>
      <w:bookmarkStart w:name="_Toc119238957" w:id="339"/>
      <w:r>
        <w:rPr>
          <w:color w:val="000000"/>
        </w:rPr>
        <w:instrText>13.2</w:instrText>
      </w:r>
      <w:r>
        <w:rPr>
          <w:color w:val="000000"/>
        </w:rPr>
        <w:tab/>
        <w:instrText>Time Bar</w:instrText>
      </w:r>
      <w:bookmarkEnd w:id="338"/>
      <w:bookmarkEnd w:id="339"/>
      <w:r>
        <w:rPr>
          <w:color w:val="000000"/>
        </w:rPr>
        <w:instrText>” \f C \l 2</w:instrText>
      </w:r>
      <w:r>
        <w:rPr>
          <w:color w:val="000000"/>
        </w:rPr>
        <w:fldChar w:fldCharType="end"/>
      </w:r>
      <w:r>
        <w:t>.  If no Dispute Notice has been issued within eighteen (18) months following the occurrence of events or circumstances giving rise to the Dispute (regardless of the actual knowledge of either Party of such events and circumstances), all claims related to such Dispute (including any allegations of billing errors) shall be deemed waived and the aggrieved Party shall thereafter be barred from proceeding thereon.</w:t>
      </w:r>
      <w:bookmarkEnd w:id="336"/>
      <w:bookmarkEnd w:id="337"/>
      <w:r>
        <w:t xml:space="preserve"> </w:t>
      </w:r>
    </w:p>
    <w:p w:rsidR="0079779A" w:rsidRDefault="003E5439" w14:paraId="55902617" w14:textId="77777777">
      <w:pPr>
        <w:pStyle w:val="ArticleL2"/>
        <w:keepNext w:val="0"/>
      </w:pPr>
      <w:bookmarkStart w:name="_Toc433954020" w:id="340"/>
      <w:bookmarkStart w:name="_Toc433954178" w:id="341"/>
      <w:r>
        <w:rPr>
          <w:u w:val="single"/>
        </w:rPr>
        <w:t>No Termination Pending Dispute Resolution</w:t>
      </w:r>
      <w:r>
        <w:rPr>
          <w:color w:val="000000"/>
        </w:rPr>
        <w:fldChar w:fldCharType="begin"/>
      </w:r>
      <w:r>
        <w:rPr>
          <w:color w:val="000000"/>
        </w:rPr>
        <w:instrText>tc "</w:instrText>
      </w:r>
      <w:bookmarkStart w:name="_Toc531859657" w:id="342"/>
      <w:bookmarkStart w:name="_Toc119238958" w:id="343"/>
      <w:r>
        <w:rPr>
          <w:color w:val="000000"/>
        </w:rPr>
        <w:instrText>13.3</w:instrText>
      </w:r>
      <w:r>
        <w:rPr>
          <w:color w:val="000000"/>
        </w:rPr>
        <w:tab/>
        <w:instrText>No Termination Pending Dispute Resolution</w:instrText>
      </w:r>
      <w:bookmarkEnd w:id="342"/>
      <w:bookmarkEnd w:id="343"/>
      <w:r>
        <w:rPr>
          <w:color w:val="000000"/>
        </w:rPr>
        <w:instrText>” \f C \l 2</w:instrText>
      </w:r>
      <w:r>
        <w:rPr>
          <w:color w:val="000000"/>
        </w:rPr>
        <w:fldChar w:fldCharType="end"/>
      </w:r>
      <w:r>
        <w:t xml:space="preserve">.  Notwithstanding </w:t>
      </w:r>
      <w:r>
        <w:rPr>
          <w:u w:val="single"/>
        </w:rPr>
        <w:t>Section 12.1</w:t>
      </w:r>
      <w:r>
        <w:t xml:space="preserve"> or </w:t>
      </w:r>
      <w:r>
        <w:rPr>
          <w:u w:val="single"/>
        </w:rPr>
        <w:t>Section 12.3</w:t>
      </w:r>
      <w:r>
        <w:t xml:space="preserve"> to the contrary:</w:t>
      </w:r>
      <w:bookmarkEnd w:id="340"/>
      <w:bookmarkEnd w:id="341"/>
      <w:r>
        <w:t xml:space="preserve"> </w:t>
      </w:r>
    </w:p>
    <w:p w:rsidR="0079779A" w:rsidRDefault="003E5439" w14:paraId="16123133" w14:textId="77777777">
      <w:pPr>
        <w:pStyle w:val="ArticleL3"/>
        <w:keepNext w:val="0"/>
      </w:pPr>
      <w:r>
        <w:lastRenderedPageBreak/>
        <w:t xml:space="preserve">An Event of Default shall not be deemed to have occurred (and hence neither Party may terminate this PPA) for failure by the other Party to pay any amount(s) allegedly due totaling less than $100,000, if (1) such amount(s) are disputed in good faith, (2) the Party alleged to owe such amount(s) promptly commences and diligently pursues resolution of the Dispute pursuant to </w:t>
      </w:r>
      <w:r>
        <w:rPr>
          <w:u w:val="single"/>
        </w:rPr>
        <w:t>Section 13.1</w:t>
      </w:r>
      <w:r>
        <w:t>, and (3) the owed amount (if any) is paid within ten (10) Business Days after all dispute resolution mechanisms are completed with respect thereto.</w:t>
      </w:r>
    </w:p>
    <w:p w:rsidR="0079779A" w:rsidRDefault="003E5439" w14:paraId="52F63A22" w14:textId="77777777">
      <w:pPr>
        <w:pStyle w:val="ArticleL3"/>
        <w:keepNext w:val="0"/>
      </w:pPr>
      <w:r>
        <w:t xml:space="preserve">An Event of Default by Seller shall not be deemed to have occurred (and hence Company may not terminate this PPA) for failure by Seller to pay any amount(s) allegedly due totaling $100,000 or more, if </w:t>
      </w:r>
    </w:p>
    <w:p w:rsidR="0079779A" w:rsidRDefault="003E5439" w14:paraId="4B210491" w14:textId="77777777">
      <w:pPr>
        <w:pStyle w:val="ArticleL4"/>
        <w:keepNext w:val="0"/>
        <w:numPr>
          <w:ilvl w:val="0"/>
          <w:numId w:val="54"/>
        </w:numPr>
        <w:ind w:left="0" w:firstLine="1260"/>
      </w:pPr>
      <w:r>
        <w:t xml:space="preserve">such amount(s) are disputed by Seller in good </w:t>
      </w:r>
      <w:proofErr w:type="gramStart"/>
      <w:r>
        <w:t>faith;</w:t>
      </w:r>
      <w:proofErr w:type="gramEnd"/>
    </w:p>
    <w:p w:rsidR="0079779A" w:rsidRDefault="003E5439" w14:paraId="4CB8FCD3" w14:textId="77777777">
      <w:pPr>
        <w:pStyle w:val="ArticleL4"/>
        <w:keepNext w:val="0"/>
        <w:numPr>
          <w:ilvl w:val="0"/>
          <w:numId w:val="54"/>
        </w:numPr>
        <w:ind w:left="0" w:firstLine="1260"/>
      </w:pPr>
      <w:r>
        <w:t xml:space="preserve">Seller promptly commences and diligently pursues resolution of the Dispute pursuant to </w:t>
      </w:r>
      <w:r>
        <w:rPr>
          <w:u w:val="single"/>
        </w:rPr>
        <w:t xml:space="preserve">Section </w:t>
      </w:r>
      <w:proofErr w:type="gramStart"/>
      <w:r>
        <w:rPr>
          <w:u w:val="single"/>
        </w:rPr>
        <w:t>13.1</w:t>
      </w:r>
      <w:r>
        <w:t>;</w:t>
      </w:r>
      <w:proofErr w:type="gramEnd"/>
      <w:r>
        <w:t xml:space="preserve"> </w:t>
      </w:r>
    </w:p>
    <w:p w:rsidR="0079779A" w:rsidRDefault="003E5439" w14:paraId="6FC815CC" w14:textId="77777777">
      <w:pPr>
        <w:pStyle w:val="ArticleL4"/>
        <w:keepNext w:val="0"/>
        <w:numPr>
          <w:ilvl w:val="0"/>
          <w:numId w:val="54"/>
        </w:numPr>
        <w:ind w:left="0" w:firstLine="1260"/>
      </w:pPr>
      <w:r>
        <w:t xml:space="preserve">Seller either holds an Investment Grade Credit Rating, or posts cash collateral to secure its obligations (if any) with respect to the disputed amount(s), in an amount equal to the amount(s) in dispute, under a mutually agreeable third-party escrow agreement, in addition to the Security </w:t>
      </w:r>
      <w:proofErr w:type="gramStart"/>
      <w:r>
        <w:t>Fund;  and</w:t>
      </w:r>
      <w:proofErr w:type="gramEnd"/>
    </w:p>
    <w:p w:rsidR="0079779A" w:rsidRDefault="003E5439" w14:paraId="69F92992" w14:textId="77777777">
      <w:pPr>
        <w:pStyle w:val="ArticleL4"/>
        <w:keepNext w:val="0"/>
        <w:numPr>
          <w:ilvl w:val="0"/>
          <w:numId w:val="54"/>
        </w:numPr>
        <w:ind w:left="0" w:firstLine="1260"/>
      </w:pPr>
      <w:r>
        <w:t>the owed amount (if any) is paid by Seller within ten (10) Business Days after all dispute resolution mechanisms are completed with respect thereto.</w:t>
      </w:r>
    </w:p>
    <w:p w:rsidR="0079779A" w:rsidRDefault="003E5439" w14:paraId="16BCA6A0" w14:textId="77777777">
      <w:pPr>
        <w:pStyle w:val="ArticleL3"/>
        <w:keepNext w:val="0"/>
      </w:pPr>
      <w:r>
        <w:t xml:space="preserve">An Event of Default by Company shall not be deemed to have occurred (and hence Seller may not terminate this PPA) for failure by Company to pay any amount(s) allegedly due totaling $100,000 or more, if </w:t>
      </w:r>
    </w:p>
    <w:p w:rsidR="0079779A" w:rsidRDefault="003E5439" w14:paraId="5E5100C5" w14:textId="77777777">
      <w:pPr>
        <w:pStyle w:val="ArticleL4"/>
        <w:keepNext w:val="0"/>
        <w:numPr>
          <w:ilvl w:val="0"/>
          <w:numId w:val="55"/>
        </w:numPr>
        <w:ind w:left="0" w:firstLine="1260"/>
      </w:pPr>
      <w:r>
        <w:t xml:space="preserve">such amount(s) are disputed by Company in good </w:t>
      </w:r>
      <w:proofErr w:type="gramStart"/>
      <w:r>
        <w:t>faith;</w:t>
      </w:r>
      <w:proofErr w:type="gramEnd"/>
    </w:p>
    <w:p w:rsidR="0079779A" w:rsidRDefault="003E5439" w14:paraId="64976BB1" w14:textId="77777777">
      <w:pPr>
        <w:pStyle w:val="ArticleL4"/>
        <w:keepNext w:val="0"/>
        <w:numPr>
          <w:ilvl w:val="0"/>
          <w:numId w:val="55"/>
        </w:numPr>
        <w:ind w:left="0" w:firstLine="1260"/>
      </w:pPr>
      <w:r>
        <w:t xml:space="preserve">Company promptly commences and diligently pursues resolution of the Dispute pursuant to </w:t>
      </w:r>
      <w:r>
        <w:rPr>
          <w:u w:val="single"/>
        </w:rPr>
        <w:t xml:space="preserve">Section </w:t>
      </w:r>
      <w:proofErr w:type="gramStart"/>
      <w:r>
        <w:rPr>
          <w:u w:val="single"/>
        </w:rPr>
        <w:t>13.1</w:t>
      </w:r>
      <w:r>
        <w:t>;</w:t>
      </w:r>
      <w:proofErr w:type="gramEnd"/>
      <w:r>
        <w:t xml:space="preserve"> </w:t>
      </w:r>
    </w:p>
    <w:p w:rsidR="0079779A" w:rsidRDefault="003E5439" w14:paraId="200B553F" w14:textId="77777777">
      <w:pPr>
        <w:pStyle w:val="ArticleL4"/>
        <w:keepNext w:val="0"/>
        <w:numPr>
          <w:ilvl w:val="0"/>
          <w:numId w:val="55"/>
        </w:numPr>
        <w:ind w:left="0" w:firstLine="1260"/>
      </w:pPr>
      <w:r>
        <w:t xml:space="preserve">Company either holds an Investment Grade Credit Rating, or posts cash collateral to secure its obligations (if any) with respect to the disputed amount(s), in an amount equal to the amount(s) in dispute, under a mutually agreeable third-party escrow and account control </w:t>
      </w:r>
      <w:proofErr w:type="gramStart"/>
      <w:r>
        <w:t>agreement;  and</w:t>
      </w:r>
      <w:proofErr w:type="gramEnd"/>
    </w:p>
    <w:p w:rsidR="0079779A" w:rsidRDefault="003E5439" w14:paraId="6DD21399" w14:textId="77777777">
      <w:pPr>
        <w:pStyle w:val="ArticleL4"/>
        <w:keepNext w:val="0"/>
        <w:numPr>
          <w:ilvl w:val="0"/>
          <w:numId w:val="55"/>
        </w:numPr>
        <w:ind w:left="0" w:firstLine="1260"/>
      </w:pPr>
      <w:r>
        <w:t>the owed amount (if any) is paid by Company within ten (10) Business Days after all dispute resolution mechanisms are completed with respect thereto.</w:t>
      </w:r>
    </w:p>
    <w:p w:rsidR="0079779A" w:rsidRDefault="003E5439" w14:paraId="2F46B9E3" w14:textId="77777777">
      <w:pPr>
        <w:pStyle w:val="ArticleL2"/>
        <w:keepNext w:val="0"/>
      </w:pPr>
      <w:bookmarkStart w:name="_Toc433954021" w:id="344"/>
      <w:bookmarkStart w:name="_Toc433954179" w:id="345"/>
      <w:r>
        <w:rPr>
          <w:u w:val="single"/>
        </w:rPr>
        <w:t>Governing Law</w:t>
      </w:r>
      <w:r>
        <w:rPr>
          <w:color w:val="000000"/>
        </w:rPr>
        <w:fldChar w:fldCharType="begin"/>
      </w:r>
      <w:r>
        <w:rPr>
          <w:color w:val="000000"/>
        </w:rPr>
        <w:instrText>tc "</w:instrText>
      </w:r>
      <w:bookmarkStart w:name="_Toc531859658" w:id="346"/>
      <w:bookmarkStart w:name="_Toc119238959" w:id="347"/>
      <w:r>
        <w:rPr>
          <w:color w:val="000000"/>
        </w:rPr>
        <w:instrText>13.4</w:instrText>
      </w:r>
      <w:r>
        <w:rPr>
          <w:color w:val="000000"/>
        </w:rPr>
        <w:tab/>
        <w:instrText>Governing Law</w:instrText>
      </w:r>
      <w:bookmarkEnd w:id="346"/>
      <w:bookmarkEnd w:id="347"/>
      <w:r>
        <w:rPr>
          <w:color w:val="000000"/>
        </w:rPr>
        <w:instrText>” \f C \l 2</w:instrText>
      </w:r>
      <w:r>
        <w:rPr>
          <w:color w:val="000000"/>
        </w:rPr>
        <w:fldChar w:fldCharType="end"/>
      </w:r>
      <w:r>
        <w:t>.  The interpretation and performance of this PPA and all actions related hereto (whether sounding in contract, tort or otherwise), shall be governed and construed in accordance with the laws of the State of Colorado, exclusive of conflict of laws principles.</w:t>
      </w:r>
      <w:bookmarkEnd w:id="344"/>
      <w:bookmarkEnd w:id="345"/>
      <w:r>
        <w:t xml:space="preserve">  </w:t>
      </w:r>
    </w:p>
    <w:p w:rsidR="0079779A" w:rsidRDefault="003E5439" w14:paraId="4756031F" w14:textId="77777777">
      <w:pPr>
        <w:pStyle w:val="ArticleL2"/>
        <w:keepNext w:val="0"/>
      </w:pPr>
      <w:bookmarkStart w:name="_Toc433954022" w:id="348"/>
      <w:bookmarkStart w:name="_Toc433954180" w:id="349"/>
      <w:r>
        <w:rPr>
          <w:u w:val="single"/>
        </w:rPr>
        <w:t>Venue</w:t>
      </w:r>
      <w:r>
        <w:rPr>
          <w:color w:val="000000"/>
        </w:rPr>
        <w:fldChar w:fldCharType="begin"/>
      </w:r>
      <w:r>
        <w:rPr>
          <w:color w:val="000000"/>
        </w:rPr>
        <w:instrText>tc "</w:instrText>
      </w:r>
      <w:bookmarkStart w:name="_Toc531859659" w:id="350"/>
      <w:bookmarkStart w:name="_Toc119238960" w:id="351"/>
      <w:r>
        <w:rPr>
          <w:color w:val="000000"/>
        </w:rPr>
        <w:instrText>13.5</w:instrText>
      </w:r>
      <w:r>
        <w:rPr>
          <w:color w:val="000000"/>
        </w:rPr>
        <w:tab/>
        <w:instrText>Venue</w:instrText>
      </w:r>
      <w:bookmarkEnd w:id="350"/>
      <w:bookmarkEnd w:id="351"/>
      <w:r>
        <w:rPr>
          <w:color w:val="000000"/>
        </w:rPr>
        <w:instrText>” \f C \l 2</w:instrText>
      </w:r>
      <w:r>
        <w:rPr>
          <w:color w:val="000000"/>
        </w:rPr>
        <w:fldChar w:fldCharType="end"/>
      </w:r>
      <w:r>
        <w:t xml:space="preserve">.  The Parties submit to the exclusive jurisdiction of the state courts of the State of Colorado for purposes of resolving any Dispute hereunder, except as provided in </w:t>
      </w:r>
      <w:r>
        <w:rPr>
          <w:u w:val="single"/>
        </w:rPr>
        <w:t xml:space="preserve">Section </w:t>
      </w:r>
      <w:proofErr w:type="gramStart"/>
      <w:r>
        <w:rPr>
          <w:u w:val="single"/>
        </w:rPr>
        <w:t>19.3</w:t>
      </w:r>
      <w:r>
        <w:t xml:space="preserve">  Venue</w:t>
      </w:r>
      <w:proofErr w:type="gramEnd"/>
      <w:r>
        <w:t xml:space="preserve"> for any court proceedings shall lie exclusively in</w:t>
      </w:r>
      <w:bookmarkEnd w:id="348"/>
      <w:bookmarkEnd w:id="349"/>
      <w:r>
        <w:t xml:space="preserve"> the </w:t>
      </w:r>
      <w:r>
        <w:lastRenderedPageBreak/>
        <w:t>Colorado District Court for the City and County of Denver or, if jurisdictionally available, then the U.S. District Court for the District of Colorado.</w:t>
      </w:r>
    </w:p>
    <w:p w:rsidR="0079779A" w:rsidRDefault="003E5439" w14:paraId="49C284F1" w14:textId="77777777">
      <w:pPr>
        <w:pStyle w:val="ArticleL2"/>
        <w:keepNext w:val="0"/>
      </w:pPr>
      <w:bookmarkStart w:name="_Toc433954026" w:id="352"/>
      <w:bookmarkStart w:name="_Toc433954184" w:id="353"/>
      <w:r>
        <w:rPr>
          <w:u w:val="single"/>
        </w:rPr>
        <w:t>Waiver of Jury Trial</w:t>
      </w:r>
      <w:r>
        <w:rPr>
          <w:color w:val="000000"/>
        </w:rPr>
        <w:fldChar w:fldCharType="begin"/>
      </w:r>
      <w:r>
        <w:rPr>
          <w:color w:val="000000"/>
        </w:rPr>
        <w:instrText>tc "</w:instrText>
      </w:r>
      <w:bookmarkStart w:name="_Toc531859660" w:id="354"/>
      <w:bookmarkStart w:name="_Toc119238961" w:id="355"/>
      <w:r>
        <w:rPr>
          <w:color w:val="000000"/>
        </w:rPr>
        <w:instrText>13.6</w:instrText>
      </w:r>
      <w:r>
        <w:rPr>
          <w:color w:val="000000"/>
        </w:rPr>
        <w:tab/>
        <w:instrText>Waiver of Jury Trial</w:instrText>
      </w:r>
      <w:bookmarkEnd w:id="354"/>
      <w:bookmarkEnd w:id="355"/>
      <w:r>
        <w:rPr>
          <w:color w:val="000000"/>
        </w:rPr>
        <w:instrText>” \f C \l 2</w:instrText>
      </w:r>
      <w:r>
        <w:rPr>
          <w:color w:val="000000"/>
        </w:rPr>
        <w:fldChar w:fldCharType="end"/>
      </w:r>
      <w:r>
        <w:t xml:space="preserve">.  </w:t>
      </w:r>
      <w:r>
        <w:rPr>
          <w:b/>
        </w:rPr>
        <w:t>Seller and Company each hereby knowingly, voluntarily and intentionally waive any rights they may have to a trial by jury</w:t>
      </w:r>
      <w:r>
        <w:t xml:space="preserve"> in respect of any litigation based hereon, or arising out of, under, or in connection with, this PPA or any course of conduct, course of dealing, statements (whether oral or written) or actions of Seller and Company related hereto and expressly agree to have any Disputes be adjudicated by a judge of the court having jurisdiction, without a jury, subject only to Section </w:t>
      </w:r>
      <w:r>
        <w:rPr>
          <w:u w:val="single"/>
        </w:rPr>
        <w:t>19.3</w:t>
      </w:r>
      <w:bookmarkEnd w:id="329"/>
      <w:bookmarkEnd w:id="352"/>
      <w:bookmarkEnd w:id="353"/>
      <w:r>
        <w:t>.</w:t>
      </w:r>
    </w:p>
    <w:p w:rsidR="0079779A" w:rsidRDefault="003E5439" w14:paraId="4672F2BC" w14:textId="77777777">
      <w:pPr>
        <w:pStyle w:val="ArticleL1"/>
        <w:keepNext w:val="0"/>
      </w:pPr>
      <w:bookmarkStart w:name="_Toc288027288" w:id="356"/>
      <w:bookmarkStart w:name="_Toc433954027" w:id="357"/>
      <w:bookmarkStart w:name="_Toc433954185" w:id="358"/>
      <w:r>
        <w:t>Force Majeure</w:t>
      </w:r>
      <w:bookmarkEnd w:id="356"/>
      <w:bookmarkEnd w:id="357"/>
      <w:bookmarkEnd w:id="358"/>
      <w:r>
        <w:fldChar w:fldCharType="begin"/>
      </w:r>
      <w:r>
        <w:instrText>tc "</w:instrText>
      </w:r>
      <w:bookmarkStart w:name="_Toc531859661" w:id="359"/>
      <w:bookmarkStart w:name="_Toc119238962" w:id="360"/>
      <w:r>
        <w:instrText>Article 14 – Force Majeure</w:instrText>
      </w:r>
      <w:bookmarkEnd w:id="359"/>
      <w:bookmarkEnd w:id="360"/>
      <w:r>
        <w:instrText>” \f C \l 1</w:instrText>
      </w:r>
      <w:r>
        <w:fldChar w:fldCharType="end"/>
      </w:r>
      <w:r>
        <w:fldChar w:fldCharType="begin"/>
      </w:r>
      <w:r>
        <w:instrText xml:space="preserve"> TC </w:instrText>
      </w:r>
      <w:r>
        <w:fldChar w:fldCharType="end"/>
      </w:r>
    </w:p>
    <w:p w:rsidR="0079779A" w:rsidRDefault="003E5439" w14:paraId="42D6E054" w14:textId="77777777">
      <w:pPr>
        <w:pStyle w:val="ArticleL2"/>
        <w:keepNext w:val="0"/>
      </w:pPr>
      <w:bookmarkStart w:name="_Toc433954028" w:id="361"/>
      <w:bookmarkStart w:name="_Toc433954186" w:id="362"/>
      <w:bookmarkStart w:name="_Toc288027289" w:id="363"/>
      <w:r>
        <w:rPr>
          <w:u w:val="single"/>
        </w:rPr>
        <w:t>Definition</w:t>
      </w:r>
      <w:r>
        <w:rPr>
          <w:color w:val="000000"/>
        </w:rPr>
        <w:fldChar w:fldCharType="begin"/>
      </w:r>
      <w:r>
        <w:rPr>
          <w:color w:val="000000"/>
        </w:rPr>
        <w:instrText>tc "</w:instrText>
      </w:r>
      <w:bookmarkStart w:name="_Toc531859662" w:id="364"/>
      <w:bookmarkStart w:name="_Toc119238963" w:id="365"/>
      <w:r>
        <w:rPr>
          <w:color w:val="000000"/>
        </w:rPr>
        <w:instrText>14.1</w:instrText>
      </w:r>
      <w:r>
        <w:rPr>
          <w:color w:val="000000"/>
        </w:rPr>
        <w:tab/>
        <w:instrText>Definition</w:instrText>
      </w:r>
      <w:bookmarkEnd w:id="364"/>
      <w:bookmarkEnd w:id="365"/>
      <w:r>
        <w:rPr>
          <w:color w:val="000000"/>
        </w:rPr>
        <w:instrText>” \f C \l 2</w:instrText>
      </w:r>
      <w:r>
        <w:rPr>
          <w:color w:val="000000"/>
        </w:rPr>
        <w:fldChar w:fldCharType="end"/>
      </w:r>
      <w:r>
        <w:t>.  For purposes hereof, “</w:t>
      </w:r>
      <w:r>
        <w:rPr>
          <w:u w:val="single"/>
        </w:rPr>
        <w:t>Force Majeure</w:t>
      </w:r>
      <w:r>
        <w:t>” means an event or circumstance that prevents a Party from performing its obligations under this PPA, which event or circumstance (i) was not anticipated as of the Effective Date, (ii) is not within the control of or the result of the fault or negligence of the Party claiming excuse, and (iii) which by exercise of due diligence and foresight could not reasonably have been avoided; By way of example only, “Force Majeure” includes any delay or failure by the Transmission Authority to perform its obligations under the Interconnection Agreement. Force Majeure shall not include:</w:t>
      </w:r>
      <w:bookmarkEnd w:id="361"/>
      <w:bookmarkEnd w:id="362"/>
      <w:r>
        <w:t xml:space="preserve">  </w:t>
      </w:r>
    </w:p>
    <w:p w:rsidR="0079779A" w:rsidRDefault="003E5439" w14:paraId="4868BBAD" w14:textId="77777777">
      <w:pPr>
        <w:pStyle w:val="ArticleL8"/>
        <w:keepNext w:val="0"/>
        <w:numPr>
          <w:ilvl w:val="7"/>
          <w:numId w:val="36"/>
        </w:numPr>
        <w:ind w:left="1080"/>
      </w:pPr>
      <w:r>
        <w:t xml:space="preserve">inability, or excess cost, to procure any equipment necessary to perform this </w:t>
      </w:r>
      <w:proofErr w:type="gramStart"/>
      <w:r>
        <w:t>PPA;</w:t>
      </w:r>
      <w:proofErr w:type="gramEnd"/>
      <w:r>
        <w:t xml:space="preserve"> </w:t>
      </w:r>
    </w:p>
    <w:p w:rsidR="0079779A" w:rsidRDefault="003E5439" w14:paraId="74F4A86C" w14:textId="77777777">
      <w:pPr>
        <w:pStyle w:val="ArticleL8"/>
        <w:keepNext w:val="0"/>
        <w:numPr>
          <w:ilvl w:val="7"/>
          <w:numId w:val="36"/>
        </w:numPr>
        <w:ind w:left="1080"/>
      </w:pPr>
      <w:r>
        <w:t xml:space="preserve">acts or omissions of a third party (including vendors and contractors to Seller), unless such acts or omissions are themselves excused by reason of </w:t>
      </w:r>
      <w:proofErr w:type="gramStart"/>
      <w:r>
        <w:t>Force Majeure;</w:t>
      </w:r>
      <w:proofErr w:type="gramEnd"/>
      <w:r>
        <w:t xml:space="preserve"> </w:t>
      </w:r>
    </w:p>
    <w:p w:rsidR="0079779A" w:rsidRDefault="003E5439" w14:paraId="68EE297F" w14:textId="77777777">
      <w:pPr>
        <w:pStyle w:val="ArticleL8"/>
        <w:keepNext w:val="0"/>
        <w:numPr>
          <w:ilvl w:val="7"/>
          <w:numId w:val="36"/>
        </w:numPr>
        <w:ind w:left="1080"/>
      </w:pPr>
      <w:r>
        <w:t xml:space="preserve">failure to timely to apply for, or diligently pursue, the Permits set forth on </w:t>
      </w:r>
      <w:r>
        <w:rPr>
          <w:u w:val="single"/>
        </w:rPr>
        <w:t>Exhibit F – Seller’s Needed Permits</w:t>
      </w:r>
      <w:r>
        <w:t xml:space="preserve"> </w:t>
      </w:r>
      <w:proofErr w:type="gramStart"/>
      <w:r>
        <w:t>hereto;</w:t>
      </w:r>
      <w:proofErr w:type="gramEnd"/>
    </w:p>
    <w:p w:rsidR="0079779A" w:rsidRDefault="003E5439" w14:paraId="13BAED7E" w14:textId="77777777">
      <w:pPr>
        <w:pStyle w:val="ArticleL8"/>
        <w:keepNext w:val="0"/>
        <w:numPr>
          <w:ilvl w:val="7"/>
          <w:numId w:val="36"/>
        </w:numPr>
        <w:ind w:left="1080"/>
      </w:pPr>
      <w:r>
        <w:t xml:space="preserve">mechanical or equipment breakdown or inability to operate, attributable to circumstances occurring within design criteria and normal operating tolerances of similar </w:t>
      </w:r>
      <w:proofErr w:type="gramStart"/>
      <w:r>
        <w:t>equipment;</w:t>
      </w:r>
      <w:proofErr w:type="gramEnd"/>
      <w:r>
        <w:t xml:space="preserve"> </w:t>
      </w:r>
    </w:p>
    <w:p w:rsidR="0079779A" w:rsidRDefault="003E5439" w14:paraId="0535B406" w14:textId="77777777">
      <w:pPr>
        <w:pStyle w:val="ArticleL8"/>
        <w:keepNext w:val="0"/>
        <w:numPr>
          <w:ilvl w:val="7"/>
          <w:numId w:val="36"/>
        </w:numPr>
        <w:ind w:left="1080"/>
      </w:pPr>
      <w:r>
        <w:t xml:space="preserve">Environmental Contamination at the </w:t>
      </w:r>
      <w:proofErr w:type="gramStart"/>
      <w:r>
        <w:t>Site;</w:t>
      </w:r>
      <w:proofErr w:type="gramEnd"/>
    </w:p>
    <w:p w:rsidR="0079779A" w:rsidRDefault="003E5439" w14:paraId="7847F4F6" w14:textId="77777777">
      <w:pPr>
        <w:pStyle w:val="ArticleL8"/>
        <w:keepNext w:val="0"/>
        <w:numPr>
          <w:ilvl w:val="7"/>
          <w:numId w:val="36"/>
        </w:numPr>
        <w:ind w:left="1080"/>
      </w:pPr>
      <w:r>
        <w:t xml:space="preserve">changes in market </w:t>
      </w:r>
      <w:proofErr w:type="gramStart"/>
      <w:r>
        <w:t>conditions;</w:t>
      </w:r>
      <w:proofErr w:type="gramEnd"/>
      <w:r>
        <w:t xml:space="preserve"> </w:t>
      </w:r>
    </w:p>
    <w:p w:rsidR="0079779A" w:rsidRDefault="003E5439" w14:paraId="7B8D76B4" w14:textId="77777777">
      <w:pPr>
        <w:pStyle w:val="ArticleL8"/>
        <w:keepNext w:val="0"/>
        <w:numPr>
          <w:ilvl w:val="7"/>
          <w:numId w:val="36"/>
        </w:numPr>
        <w:ind w:left="1080"/>
      </w:pPr>
      <w:r>
        <w:t xml:space="preserve">changes of law; or </w:t>
      </w:r>
    </w:p>
    <w:p w:rsidR="0079779A" w:rsidRDefault="003E5439" w14:paraId="7D0FC29C" w14:textId="77777777">
      <w:pPr>
        <w:pStyle w:val="ArticleL8"/>
        <w:keepNext w:val="0"/>
        <w:numPr>
          <w:ilvl w:val="7"/>
          <w:numId w:val="36"/>
        </w:numPr>
        <w:ind w:left="1080"/>
      </w:pPr>
      <w:r>
        <w:t xml:space="preserve">labor strikes, slowdowns, work stoppages, or other labor disruptions. </w:t>
      </w:r>
    </w:p>
    <w:p w:rsidR="0079779A" w:rsidRDefault="003E5439" w14:paraId="60A9D82D" w14:textId="77777777">
      <w:pPr>
        <w:pStyle w:val="ArticleL2"/>
        <w:keepNext w:val="0"/>
      </w:pPr>
      <w:bookmarkStart w:name="_Toc433954030" w:id="366"/>
      <w:bookmarkStart w:name="_Toc433954188" w:id="367"/>
      <w:r>
        <w:rPr>
          <w:u w:val="single"/>
        </w:rPr>
        <w:t>Applicability of Force Majeure</w:t>
      </w:r>
      <w:r>
        <w:rPr>
          <w:color w:val="000000"/>
        </w:rPr>
        <w:fldChar w:fldCharType="begin"/>
      </w:r>
      <w:r>
        <w:rPr>
          <w:color w:val="000000"/>
        </w:rPr>
        <w:instrText>tc "</w:instrText>
      </w:r>
      <w:bookmarkStart w:name="_Toc531859663" w:id="368"/>
      <w:bookmarkStart w:name="_Toc119238964" w:id="369"/>
      <w:r>
        <w:rPr>
          <w:color w:val="000000"/>
        </w:rPr>
        <w:instrText>14.2</w:instrText>
      </w:r>
      <w:r>
        <w:rPr>
          <w:color w:val="000000"/>
        </w:rPr>
        <w:tab/>
        <w:instrText>Applicability of Force Majeure</w:instrText>
      </w:r>
      <w:bookmarkEnd w:id="368"/>
      <w:bookmarkEnd w:id="369"/>
      <w:r>
        <w:rPr>
          <w:color w:val="000000"/>
        </w:rPr>
        <w:instrText>” \f C \l 2</w:instrText>
      </w:r>
      <w:r>
        <w:rPr>
          <w:color w:val="000000"/>
        </w:rPr>
        <w:fldChar w:fldCharType="end"/>
      </w:r>
      <w:r>
        <w:t xml:space="preserve">.  A Party shall be relieved of its obligations to perform this PPA and shall not be considered to be in default with respect to any obligation under this PPA if and to the extent such Party is prevented from fulfilling such obligation by Force Majeure, </w:t>
      </w:r>
      <w:r>
        <w:rPr>
          <w:i/>
        </w:rPr>
        <w:t xml:space="preserve">provided, however, </w:t>
      </w:r>
      <w:r>
        <w:t xml:space="preserve">that:  (i) such Party gives prompt notice describing the circumstances and impact of the Force Majeure; (ii) the relief from its obligations sought by such Party is of no greater scope and of no longer duration than is required by the Force Majeure; (iii) such Party proceeds with due diligence to overcome the Force Majeure and resumes performance of its obligations under this PPA as soon as </w:t>
      </w:r>
      <w:r>
        <w:lastRenderedPageBreak/>
        <w:t>practicable thereafter; and (iv) such Party provides notice upon conclusion of the Force Majeure.</w:t>
      </w:r>
      <w:bookmarkEnd w:id="363"/>
      <w:bookmarkEnd w:id="366"/>
      <w:bookmarkEnd w:id="367"/>
    </w:p>
    <w:p w:rsidR="0079779A" w:rsidRDefault="003E5439" w14:paraId="6ED719C6" w14:textId="77777777">
      <w:pPr>
        <w:pStyle w:val="ArticleL2"/>
        <w:keepNext w:val="0"/>
      </w:pPr>
      <w:bookmarkStart w:name="_Toc433954031" w:id="370"/>
      <w:bookmarkStart w:name="_Toc433954189" w:id="371"/>
      <w:bookmarkStart w:name="_Toc288027290" w:id="372"/>
      <w:r>
        <w:rPr>
          <w:u w:val="single"/>
        </w:rPr>
        <w:t>Limitations on Effect of Force Majeure</w:t>
      </w:r>
      <w:r>
        <w:fldChar w:fldCharType="begin"/>
      </w:r>
      <w:r>
        <w:instrText>tc "</w:instrText>
      </w:r>
      <w:bookmarkStart w:name="_Toc531859664" w:id="373"/>
      <w:bookmarkStart w:name="_Toc119238965" w:id="374"/>
      <w:r>
        <w:instrText>14.3</w:instrText>
      </w:r>
      <w:r>
        <w:tab/>
        <w:instrText>Limitations on Effect of Force Majeure</w:instrText>
      </w:r>
      <w:bookmarkEnd w:id="373"/>
      <w:bookmarkEnd w:id="374"/>
      <w:r>
        <w:instrText>” \f C \l 2</w:instrText>
      </w:r>
      <w:r>
        <w:fldChar w:fldCharType="end"/>
      </w:r>
      <w:r>
        <w:t>.</w:t>
      </w:r>
      <w:bookmarkEnd w:id="370"/>
      <w:bookmarkEnd w:id="371"/>
      <w:r>
        <w:t xml:space="preserve">  </w:t>
      </w:r>
      <w:bookmarkEnd w:id="372"/>
    </w:p>
    <w:p w:rsidR="0079779A" w:rsidRDefault="003E5439" w14:paraId="4D04C28E" w14:textId="77777777">
      <w:pPr>
        <w:pStyle w:val="ArticleL3"/>
        <w:keepNext w:val="0"/>
      </w:pPr>
      <w:r>
        <w:t>Force Majeure shall only relieve a Party of such obligations as are actually precluded by the Force Majeure.</w:t>
      </w:r>
    </w:p>
    <w:p w:rsidR="0079779A" w:rsidRDefault="003E5439" w14:paraId="4AA8A4B7" w14:textId="77777777">
      <w:pPr>
        <w:pStyle w:val="ArticleL3"/>
        <w:keepNext w:val="0"/>
      </w:pPr>
      <w:r>
        <w:t xml:space="preserve">In no event will the existence of Force Majeure extend this PPA beyond its stated Term.  </w:t>
      </w:r>
    </w:p>
    <w:p w:rsidR="0079779A" w:rsidRDefault="003E5439" w14:paraId="42C3E63C" w14:textId="77777777">
      <w:pPr>
        <w:pStyle w:val="ArticleL3"/>
        <w:keepNext w:val="0"/>
      </w:pPr>
      <w:r>
        <w:t>If, (i) prior to COD, Force Majeure affecting Seller continues for a period of ninety (90) consecutive Days or any one-hundred fifty (150) non-consecutive Days, or (ii) after COD Force Majeure affecting Seller continues for a period of one-hundred eighty (180) consecutive Days or any two-hundred seventy (270) non-consecutive Days in any three consecutive Commercial Operation Years, Company may, at any time following the end of such period, terminate this PPA upon notice to Seller, without further obligation by either Party except as to costs and balances incurred prior to the effective date of such termination.</w:t>
      </w:r>
    </w:p>
    <w:p w:rsidR="0079779A" w:rsidRDefault="003E5439" w14:paraId="706458E5" w14:textId="77777777">
      <w:pPr>
        <w:pStyle w:val="ArticleL1"/>
        <w:keepNext w:val="0"/>
      </w:pPr>
      <w:bookmarkStart w:name="_Toc288027292" w:id="375"/>
      <w:bookmarkStart w:name="_Toc433954032" w:id="376"/>
      <w:bookmarkStart w:name="_Toc433954190" w:id="377"/>
      <w:r>
        <w:t>Representations, Warranties</w:t>
      </w:r>
      <w:bookmarkEnd w:id="375"/>
      <w:bookmarkEnd w:id="376"/>
      <w:bookmarkEnd w:id="377"/>
      <w:r>
        <w:t xml:space="preserve"> and Covenants</w:t>
      </w:r>
      <w:r>
        <w:fldChar w:fldCharType="begin"/>
      </w:r>
      <w:r>
        <w:instrText>tc "</w:instrText>
      </w:r>
      <w:bookmarkStart w:name="_Toc531859665" w:id="378"/>
      <w:bookmarkStart w:name="_Toc119238966" w:id="379"/>
      <w:r>
        <w:instrText>Article 15 – Representations, Warranties and Covenants</w:instrText>
      </w:r>
      <w:bookmarkEnd w:id="378"/>
      <w:bookmarkEnd w:id="379"/>
      <w:r>
        <w:instrText>” \f C \l 1</w:instrText>
      </w:r>
      <w:r>
        <w:fldChar w:fldCharType="end"/>
      </w:r>
    </w:p>
    <w:p w:rsidR="0079779A" w:rsidRDefault="003E5439" w14:paraId="54B345DF" w14:textId="77777777">
      <w:pPr>
        <w:pStyle w:val="ArticleL2"/>
        <w:keepNext w:val="0"/>
        <w:numPr>
          <w:ilvl w:val="0"/>
          <w:numId w:val="0"/>
        </w:numPr>
        <w:ind w:firstLine="720"/>
      </w:pPr>
      <w:bookmarkStart w:name="_Toc288027293" w:id="380"/>
      <w:bookmarkStart w:name="_Toc433954033" w:id="381"/>
      <w:bookmarkStart w:name="_Toc433954191" w:id="382"/>
      <w:r>
        <w:t>Each Party hereby represents and warrants to the other as follows, which representations and warranties shall be deemed to be repeated, if applicable, by each Party throughout the Term:</w:t>
      </w:r>
      <w:bookmarkEnd w:id="380"/>
      <w:bookmarkEnd w:id="381"/>
      <w:bookmarkEnd w:id="382"/>
    </w:p>
    <w:p w:rsidR="0079779A" w:rsidRDefault="003E5439" w14:paraId="7C8C5F70" w14:textId="77777777">
      <w:pPr>
        <w:pStyle w:val="ArticleL3"/>
        <w:keepNext w:val="0"/>
      </w:pPr>
      <w:r>
        <w:t>Such Party is a valid separate legal entity, duly organized, validly existing and in good standing under Applicable Law.  It is qualified to do business in the State in which the Facility is located and each other jurisdiction where the failure to so qualify would have a Material Adverse Effect on the business or financial condition of the other Party.  It has all requisite power and authority to conduct its business, to own its properties, and to execute, deliver, and perform its obligations under this PPA.</w:t>
      </w:r>
    </w:p>
    <w:p w:rsidR="0079779A" w:rsidRDefault="003E5439" w14:paraId="30364D51" w14:textId="77777777">
      <w:pPr>
        <w:pStyle w:val="ArticleL3"/>
        <w:keepNext w:val="0"/>
      </w:pPr>
      <w:r>
        <w:t>The Party’s execution, delivery, and performance of all of its obligations under this PPA have been duly authorized by all necessary organizational action, and do not and will not:</w:t>
      </w:r>
    </w:p>
    <w:p w:rsidR="0079779A" w:rsidRDefault="003E5439" w14:paraId="2E40D932" w14:textId="77777777">
      <w:pPr>
        <w:pStyle w:val="ArticleL4"/>
        <w:keepNext w:val="0"/>
      </w:pPr>
      <w:r>
        <w:t xml:space="preserve">require any consent or approval by any governing </w:t>
      </w:r>
      <w:proofErr w:type="gramStart"/>
      <w:r>
        <w:t>corporate  or</w:t>
      </w:r>
      <w:proofErr w:type="gramEnd"/>
      <w:r>
        <w:t xml:space="preserve"> management body, other than that which has been obtained and is in full force and effect (evidence of which shall be delivered to the other Party upon its request);</w:t>
      </w:r>
    </w:p>
    <w:p w:rsidR="0079779A" w:rsidRDefault="003E5439" w14:paraId="08D9128F" w14:textId="77777777">
      <w:pPr>
        <w:pStyle w:val="ArticleL4"/>
        <w:keepNext w:val="0"/>
      </w:pPr>
      <w:r>
        <w:t xml:space="preserve">violate any Applicable Law, the violation of which could have a Material Adverse Effect on the representing Party’s ability to perform its obligations under this </w:t>
      </w:r>
      <w:proofErr w:type="gramStart"/>
      <w:r>
        <w:t>PPA;</w:t>
      </w:r>
      <w:proofErr w:type="gramEnd"/>
    </w:p>
    <w:p w:rsidR="0079779A" w:rsidRDefault="003E5439" w14:paraId="0AA99EB1" w14:textId="77777777">
      <w:pPr>
        <w:pStyle w:val="ArticleL4"/>
        <w:keepNext w:val="0"/>
      </w:pPr>
      <w:r>
        <w:t xml:space="preserve">result in a breach or constitute a default under the representing Party’s formation documents, bylaws or equivalent, or under any agreement relating to its management or affairs, any indenture or loan or credit agreement, or any other agreement, lease, or instrument to which it is a party or by which it or its properties or assets may be bound or affected, the breach or default of which could reasonably be </w:t>
      </w:r>
      <w:r>
        <w:lastRenderedPageBreak/>
        <w:t>expected to have a Material Adverse Effect on the representing Party’s ability to perform its obligations under this PPA; or</w:t>
      </w:r>
    </w:p>
    <w:p w:rsidR="0079779A" w:rsidRDefault="003E5439" w14:paraId="28399C42" w14:textId="77777777">
      <w:pPr>
        <w:pStyle w:val="ArticleL4"/>
        <w:keepNext w:val="0"/>
      </w:pPr>
      <w:r>
        <w:t>result in, or require the creation or imposition of any mortgage, deed of trust, pledge, lien, security interest, or other charge or encumbrance of any nature (other than as may be contemplated by this PPA) upon or with respect to any of the assets or properties of the representing Party now owned or hereafter acquired, the creation or imposition of which could reasonably be expected to have a Material Adverse Effect on the representing Party’s ability to perform its obligations under this PPA.</w:t>
      </w:r>
    </w:p>
    <w:p w:rsidR="0079779A" w:rsidRDefault="003E5439" w14:paraId="452C4D0B" w14:textId="77777777">
      <w:pPr>
        <w:pStyle w:val="ArticleL3"/>
        <w:keepNext w:val="0"/>
      </w:pPr>
      <w:r>
        <w:t>This PPA is a valid and binding obligation of the representing Party.</w:t>
      </w:r>
    </w:p>
    <w:p w:rsidR="0079779A" w:rsidRDefault="003E5439" w14:paraId="4F947A42" w14:textId="77777777">
      <w:pPr>
        <w:pStyle w:val="ArticleL3"/>
        <w:keepNext w:val="0"/>
      </w:pPr>
      <w:r>
        <w:t>The execution and performance of this PPA will not conflict with or constitute a breach or default under any contract or agreement of any kind to which the representing Party is a party or any judgment, order, or Applicable Law, applicable to it or its business.</w:t>
      </w:r>
    </w:p>
    <w:p w:rsidR="0079779A" w:rsidRDefault="003E5439" w14:paraId="0E2318F6" w14:textId="77777777">
      <w:pPr>
        <w:pStyle w:val="ArticleL3"/>
        <w:keepNext w:val="0"/>
      </w:pPr>
      <w:r>
        <w:t>Within the meaning of the U.S. Bankruptcy Code, (i) this PPA constitutes a “master netting agreement,” (ii) all transactions pursuant to this PPA constitute “forward contracts” or a “swap agreement,” (iii) the representing Party is a “forward contract merchant” and “master netting agreement participant,” and (iv) all payments made or to be made pursuant to this PPA constitute “settlement payments.”</w:t>
      </w:r>
    </w:p>
    <w:p w:rsidR="0079779A" w:rsidRDefault="003E5439" w14:paraId="738146D1" w14:textId="77777777">
      <w:pPr>
        <w:pStyle w:val="ArticleL3"/>
        <w:tabs>
          <w:tab w:val="num" w:pos="2880"/>
        </w:tabs>
        <w:spacing w:after="240"/>
      </w:pPr>
      <w:r>
        <w:t xml:space="preserve">Seller further hereby covenants to Company throughout the Term that </w:t>
      </w:r>
      <w:r>
        <w:rPr>
          <w:szCs w:val="24"/>
        </w:rPr>
        <w:t>Seller shall deliver to Company the products and services required by this PPA free and clear of all liens, security interests, claims and encumbrances or any interest therein or thereto by any person</w:t>
      </w:r>
    </w:p>
    <w:p w:rsidR="0079779A" w:rsidRDefault="003E5439" w14:paraId="4186BBA2" w14:textId="77777777">
      <w:pPr>
        <w:pStyle w:val="ArticleL1"/>
        <w:keepNext w:val="0"/>
      </w:pPr>
      <w:bookmarkStart w:name="_Toc288027296" w:id="383"/>
      <w:bookmarkStart w:name="_Toc433954034" w:id="384"/>
      <w:bookmarkStart w:name="_Toc433954192" w:id="385"/>
      <w:r>
        <w:t>Insurance</w:t>
      </w:r>
      <w:bookmarkEnd w:id="383"/>
      <w:bookmarkEnd w:id="384"/>
      <w:bookmarkEnd w:id="385"/>
      <w:r>
        <w:fldChar w:fldCharType="begin"/>
      </w:r>
      <w:r>
        <w:instrText>tc "</w:instrText>
      </w:r>
      <w:bookmarkStart w:name="_Toc531859666" w:id="386"/>
      <w:bookmarkStart w:name="_Toc119238967" w:id="387"/>
      <w:r>
        <w:instrText>Article 16 - Insurance</w:instrText>
      </w:r>
      <w:bookmarkEnd w:id="386"/>
      <w:bookmarkEnd w:id="387"/>
      <w:r>
        <w:instrText>” \f C \l 1</w:instrText>
      </w:r>
      <w:r>
        <w:fldChar w:fldCharType="end"/>
      </w:r>
    </w:p>
    <w:p w:rsidR="0079779A" w:rsidRDefault="003E5439" w14:paraId="68D90B7E" w14:textId="77777777">
      <w:pPr>
        <w:pStyle w:val="ArticleL2"/>
        <w:keepNext w:val="0"/>
      </w:pPr>
      <w:bookmarkStart w:name="_Toc433954035" w:id="388"/>
      <w:bookmarkStart w:name="_Toc433954193" w:id="389"/>
      <w:bookmarkStart w:name="_Toc288027297" w:id="390"/>
      <w:r>
        <w:rPr>
          <w:u w:val="single"/>
        </w:rPr>
        <w:t>Evidence of Insurance</w:t>
      </w:r>
      <w:r>
        <w:rPr>
          <w:color w:val="000000"/>
        </w:rPr>
        <w:fldChar w:fldCharType="begin"/>
      </w:r>
      <w:r>
        <w:rPr>
          <w:color w:val="000000"/>
        </w:rPr>
        <w:instrText>tc "</w:instrText>
      </w:r>
      <w:bookmarkStart w:name="_Toc531859667" w:id="391"/>
      <w:bookmarkStart w:name="_Toc119238968" w:id="392"/>
      <w:r>
        <w:rPr>
          <w:color w:val="000000"/>
        </w:rPr>
        <w:instrText>16.1</w:instrText>
      </w:r>
      <w:r>
        <w:rPr>
          <w:color w:val="000000"/>
        </w:rPr>
        <w:tab/>
        <w:instrText>Evidence of Insurance</w:instrText>
      </w:r>
      <w:bookmarkEnd w:id="391"/>
      <w:bookmarkEnd w:id="392"/>
      <w:r>
        <w:rPr>
          <w:color w:val="000000"/>
        </w:rPr>
        <w:instrText>” \f C \l 2</w:instrText>
      </w:r>
      <w:r>
        <w:rPr>
          <w:color w:val="000000"/>
        </w:rPr>
        <w:fldChar w:fldCharType="end"/>
      </w:r>
      <w:r>
        <w:t xml:space="preserve">.  No later than commencement of construction and thereafter at least five Days prior to each applicable expiration date, Seller shall provide Company with two copies of insurance certificates acceptable to Company evidencing that insurance coverages for the Facility are in force and in compliance with the specifications for insurance coverage set forth in </w:t>
      </w:r>
      <w:r>
        <w:rPr>
          <w:u w:val="single"/>
        </w:rPr>
        <w:t>Exhibit E – Insurance Coverage</w:t>
      </w:r>
      <w:r>
        <w:t xml:space="preserve"> to this PPA.  Such certificates shall</w:t>
      </w:r>
      <w:bookmarkEnd w:id="388"/>
      <w:bookmarkEnd w:id="389"/>
      <w:r>
        <w:t xml:space="preserve"> </w:t>
      </w:r>
    </w:p>
    <w:p w:rsidR="0079779A" w:rsidRDefault="003E5439" w14:paraId="699AD236" w14:textId="77777777">
      <w:pPr>
        <w:pStyle w:val="ArticleL3"/>
        <w:keepNext w:val="0"/>
      </w:pPr>
      <w:r>
        <w:t>name Company as an additional insured (except worker’s compensation</w:t>
      </w:r>
      <w:proofErr w:type="gramStart"/>
      <w:r>
        <w:t>);</w:t>
      </w:r>
      <w:proofErr w:type="gramEnd"/>
    </w:p>
    <w:p w:rsidR="0079779A" w:rsidRDefault="003E5439" w14:paraId="737F61F7" w14:textId="77777777">
      <w:pPr>
        <w:pStyle w:val="ArticleL3"/>
        <w:keepNext w:val="0"/>
      </w:pPr>
      <w:r>
        <w:t>provide that Company shall receive thirty (30) Days prior written notice of non</w:t>
      </w:r>
      <w:r>
        <w:noBreakHyphen/>
        <w:t>renewal, cancellation of, or significant modification to any of the corresponding policies (except that such notice may be ten (10) Days for non</w:t>
      </w:r>
      <w:r>
        <w:noBreakHyphen/>
        <w:t>payment of premiums</w:t>
      </w:r>
      <w:proofErr w:type="gramStart"/>
      <w:r>
        <w:t>);</w:t>
      </w:r>
      <w:proofErr w:type="gramEnd"/>
    </w:p>
    <w:p w:rsidR="0079779A" w:rsidRDefault="003E5439" w14:paraId="78DE46B3" w14:textId="77777777">
      <w:pPr>
        <w:pStyle w:val="ArticleL3"/>
        <w:keepNext w:val="0"/>
      </w:pPr>
      <w:r>
        <w:t>provide a waiver of any rights of subrogation against Company, its Affiliates and their officers, directors, agents, subcontractors, and employees; and</w:t>
      </w:r>
    </w:p>
    <w:p w:rsidR="0079779A" w:rsidRDefault="003E5439" w14:paraId="024B388B" w14:textId="77777777">
      <w:pPr>
        <w:pStyle w:val="ArticleL3"/>
        <w:keepNext w:val="0"/>
      </w:pPr>
      <w:r>
        <w:t>indicate that the “</w:t>
      </w:r>
      <w:r>
        <w:rPr>
          <w:u w:val="single"/>
        </w:rPr>
        <w:t>Commercial General Liability</w:t>
      </w:r>
      <w:r>
        <w:t>” policy has been endorsed as described above.</w:t>
      </w:r>
    </w:p>
    <w:p w:rsidR="0079779A" w:rsidRDefault="003E5439" w14:paraId="1AC4D52F" w14:textId="77777777">
      <w:pPr>
        <w:pStyle w:val="ArticleL2"/>
        <w:keepNext w:val="0"/>
      </w:pPr>
      <w:bookmarkStart w:name="_Toc433954036" w:id="393"/>
      <w:bookmarkStart w:name="_Toc433954194" w:id="394"/>
      <w:r>
        <w:rPr>
          <w:u w:val="single"/>
        </w:rPr>
        <w:lastRenderedPageBreak/>
        <w:t>Policy Requirements</w:t>
      </w:r>
      <w:r>
        <w:rPr>
          <w:color w:val="000000"/>
        </w:rPr>
        <w:fldChar w:fldCharType="begin"/>
      </w:r>
      <w:r>
        <w:rPr>
          <w:color w:val="000000"/>
        </w:rPr>
        <w:instrText>tc "</w:instrText>
      </w:r>
      <w:bookmarkStart w:name="_Toc531859668" w:id="395"/>
      <w:bookmarkStart w:name="_Toc119238969" w:id="396"/>
      <w:r>
        <w:rPr>
          <w:color w:val="000000"/>
        </w:rPr>
        <w:instrText>16.2</w:instrText>
      </w:r>
      <w:r>
        <w:rPr>
          <w:color w:val="000000"/>
        </w:rPr>
        <w:tab/>
        <w:instrText>Policy Requirements</w:instrText>
      </w:r>
      <w:bookmarkEnd w:id="395"/>
      <w:bookmarkEnd w:id="396"/>
      <w:r>
        <w:rPr>
          <w:color w:val="000000"/>
        </w:rPr>
        <w:instrText>” \f C \l 2</w:instrText>
      </w:r>
      <w:r>
        <w:rPr>
          <w:color w:val="000000"/>
        </w:rPr>
        <w:fldChar w:fldCharType="end"/>
      </w:r>
      <w:r>
        <w:t xml:space="preserve">.  All policies shall be written with insurers with an AM Best rating of at least A-VII or a Standard &amp; Poor’s rating of at least A.  All policies shall be written on an occurrence basis, except as provided in </w:t>
      </w:r>
      <w:r>
        <w:rPr>
          <w:u w:val="single"/>
        </w:rPr>
        <w:t>Section 16.4</w:t>
      </w:r>
      <w:r>
        <w:t>.  All policies shall contain an endorsement that Seller’s policy shall be primary in all instances regardless of like coverages, if any, carried by Company.</w:t>
      </w:r>
      <w:bookmarkEnd w:id="393"/>
      <w:bookmarkEnd w:id="394"/>
      <w:r>
        <w:t xml:space="preserve">  Seller may satisfy its insurance requirements using any reasonable combination of primary and secondary coverage.</w:t>
      </w:r>
    </w:p>
    <w:p w:rsidR="0079779A" w:rsidRDefault="003E5439" w14:paraId="0C3337C2" w14:textId="77777777">
      <w:pPr>
        <w:pStyle w:val="ArticleL2"/>
        <w:keepNext w:val="0"/>
      </w:pPr>
      <w:bookmarkStart w:name="_Toc433954037" w:id="397"/>
      <w:bookmarkStart w:name="_Toc433954195" w:id="398"/>
      <w:r>
        <w:rPr>
          <w:u w:val="single"/>
        </w:rPr>
        <w:t>No Implied Limitation</w:t>
      </w:r>
      <w:r>
        <w:rPr>
          <w:color w:val="000000"/>
        </w:rPr>
        <w:fldChar w:fldCharType="begin"/>
      </w:r>
      <w:r>
        <w:rPr>
          <w:color w:val="000000"/>
        </w:rPr>
        <w:instrText>tc "</w:instrText>
      </w:r>
      <w:bookmarkStart w:name="_Toc531859669" w:id="399"/>
      <w:bookmarkStart w:name="_Toc119238970" w:id="400"/>
      <w:r>
        <w:rPr>
          <w:color w:val="000000"/>
        </w:rPr>
        <w:instrText>16.3</w:instrText>
      </w:r>
      <w:r>
        <w:rPr>
          <w:color w:val="000000"/>
        </w:rPr>
        <w:tab/>
        <w:instrText>No Implied Limitation</w:instrText>
      </w:r>
      <w:bookmarkEnd w:id="399"/>
      <w:bookmarkEnd w:id="400"/>
      <w:r>
        <w:rPr>
          <w:color w:val="000000"/>
        </w:rPr>
        <w:instrText>” \f C \l 2</w:instrText>
      </w:r>
      <w:r>
        <w:rPr>
          <w:color w:val="000000"/>
        </w:rPr>
        <w:fldChar w:fldCharType="end"/>
      </w:r>
      <w:r>
        <w:t>.  Seller’s liability under this PPA is not limited to the amount of insurance coverage required herein.</w:t>
      </w:r>
      <w:bookmarkEnd w:id="390"/>
      <w:bookmarkEnd w:id="397"/>
      <w:bookmarkEnd w:id="398"/>
    </w:p>
    <w:p w:rsidR="0079779A" w:rsidRDefault="003E5439" w14:paraId="23EEC321" w14:textId="77777777">
      <w:pPr>
        <w:pStyle w:val="ArticleL2"/>
        <w:keepNext w:val="0"/>
      </w:pPr>
      <w:bookmarkStart w:name="_Toc288027298" w:id="401"/>
      <w:bookmarkStart w:name="_Toc433954038" w:id="402"/>
      <w:bookmarkStart w:name="_Toc433954196" w:id="403"/>
      <w:r>
        <w:rPr>
          <w:u w:val="single"/>
        </w:rPr>
        <w:t>Term and Modification of Insurance</w:t>
      </w:r>
      <w:r>
        <w:fldChar w:fldCharType="begin"/>
      </w:r>
      <w:r>
        <w:instrText>tc "</w:instrText>
      </w:r>
      <w:bookmarkStart w:name="_Toc531859670" w:id="404"/>
      <w:bookmarkStart w:name="_Toc119238971" w:id="405"/>
      <w:r>
        <w:instrText>16.4</w:instrText>
      </w:r>
      <w:r>
        <w:tab/>
        <w:instrText>Term and Modification of Insurance</w:instrText>
      </w:r>
      <w:bookmarkEnd w:id="404"/>
      <w:bookmarkEnd w:id="405"/>
      <w:r>
        <w:instrText>” \f C \l 2</w:instrText>
      </w:r>
      <w:r>
        <w:fldChar w:fldCharType="end"/>
      </w:r>
      <w:r>
        <w:t>.</w:t>
      </w:r>
      <w:bookmarkEnd w:id="401"/>
      <w:bookmarkEnd w:id="402"/>
      <w:bookmarkEnd w:id="403"/>
    </w:p>
    <w:p w:rsidR="0079779A" w:rsidRDefault="003E5439" w14:paraId="19C07E91" w14:textId="77777777">
      <w:pPr>
        <w:pStyle w:val="ArticleL3"/>
        <w:keepNext w:val="0"/>
      </w:pPr>
      <w:r>
        <w:t>All insurance required under this PPA shall cover occurrences during the Term and for a period of two years after the Term.  In the event that any insurance as required herein is commercially available only on a “claims-made” basis, such insurance shall provide for a retroactive date not later than the date of this PPA and such insurance shall be maintained by Seller for a minimum of six years after the Term.</w:t>
      </w:r>
    </w:p>
    <w:p w:rsidR="0079779A" w:rsidRDefault="003E5439" w14:paraId="08C42F49" w14:textId="77777777">
      <w:pPr>
        <w:pStyle w:val="ArticleL3"/>
        <w:keepNext w:val="0"/>
      </w:pPr>
      <w:r>
        <w:t xml:space="preserve">Company shall have the right, at times deemed appropriate to Company during the Term, to request Seller to modify the insurance minimum limits specified in </w:t>
      </w:r>
      <w:r>
        <w:rPr>
          <w:u w:val="single"/>
        </w:rPr>
        <w:t>Exhibit E – Insurance Coverage</w:t>
      </w:r>
      <w:r>
        <w:t xml:space="preserve"> in order to maintain Commercially Reasonable coverage amounts.  Seller shall make Commercially Reasonable Efforts to comply with any such request.</w:t>
      </w:r>
    </w:p>
    <w:p w:rsidR="0079779A" w:rsidRDefault="003E5439" w14:paraId="6956B63E" w14:textId="77777777">
      <w:pPr>
        <w:pStyle w:val="ArticleL3"/>
        <w:keepNext w:val="0"/>
      </w:pPr>
      <w:r>
        <w:t>If any insurance required to be maintained by Seller hereunder ceases to be reasonably available and commercially feasible in the commercial insurance market, Seller shall provide notice to Company, accompanied by a certificate from an independent insurance advisor of recognized national standing, certifying that such insurance is not reasonably available and commercially feasible in the commercial insurance market for electric energy storage plants of similar type, geographic location and capacity (or, if not enough data is available for energy storage plants, such advisor may use utilize data regarding electric generation projects as a proxy for energy storage).  Upon receipt of such notice, Seller shall use Commercially Reasonable Efforts to obtain other insurance that would provide comparable protection against the risk to be insured.</w:t>
      </w:r>
    </w:p>
    <w:p w:rsidR="0079779A" w:rsidRDefault="003E5439" w14:paraId="3E9A679A" w14:textId="77777777">
      <w:pPr>
        <w:pStyle w:val="ArticleL2"/>
        <w:keepNext w:val="0"/>
      </w:pPr>
      <w:bookmarkStart w:name="_Toc288027299" w:id="406"/>
      <w:bookmarkStart w:name="_Toc433954039" w:id="407"/>
      <w:bookmarkStart w:name="_Toc433954197" w:id="408"/>
      <w:r>
        <w:rPr>
          <w:u w:val="single"/>
        </w:rPr>
        <w:t>Application of Proceeds</w:t>
      </w:r>
      <w:r>
        <w:rPr>
          <w:color w:val="000000"/>
        </w:rPr>
        <w:fldChar w:fldCharType="begin"/>
      </w:r>
      <w:r>
        <w:rPr>
          <w:color w:val="000000"/>
        </w:rPr>
        <w:instrText>tc "</w:instrText>
      </w:r>
      <w:bookmarkStart w:name="_Toc531859671" w:id="409"/>
      <w:bookmarkStart w:name="_Toc119238972" w:id="410"/>
      <w:r>
        <w:rPr>
          <w:color w:val="000000"/>
        </w:rPr>
        <w:instrText>16.5</w:instrText>
      </w:r>
      <w:r>
        <w:rPr>
          <w:color w:val="000000"/>
        </w:rPr>
        <w:tab/>
        <w:instrText>Application of Proceeds</w:instrText>
      </w:r>
      <w:bookmarkEnd w:id="409"/>
      <w:bookmarkEnd w:id="410"/>
      <w:r>
        <w:rPr>
          <w:color w:val="000000"/>
        </w:rPr>
        <w:instrText>” \f C \l 2</w:instrText>
      </w:r>
      <w:r>
        <w:rPr>
          <w:color w:val="000000"/>
        </w:rPr>
        <w:fldChar w:fldCharType="end"/>
      </w:r>
      <w:r>
        <w:t>.  Except to the extent otherwise required by the Financing Documents, Seller shall apply any casualty insurance proceeds to reconstruction of the Facility following any material casualty to the Facility that occurs more than eighteen (18) months prior to the Scheduled Termination Date.</w:t>
      </w:r>
      <w:bookmarkEnd w:id="406"/>
      <w:bookmarkEnd w:id="407"/>
      <w:bookmarkEnd w:id="408"/>
    </w:p>
    <w:p w:rsidR="0079779A" w:rsidRDefault="003E5439" w14:paraId="44855B2F" w14:textId="77777777">
      <w:pPr>
        <w:pStyle w:val="ArticleL1"/>
        <w:keepNext w:val="0"/>
      </w:pPr>
      <w:bookmarkStart w:name="_Toc288027300" w:id="411"/>
      <w:bookmarkStart w:name="_Toc433954040" w:id="412"/>
      <w:bookmarkStart w:name="_Toc433954198" w:id="413"/>
      <w:r>
        <w:t>Indemnity</w:t>
      </w:r>
      <w:bookmarkEnd w:id="411"/>
      <w:bookmarkEnd w:id="412"/>
      <w:bookmarkEnd w:id="413"/>
      <w:r>
        <w:fldChar w:fldCharType="begin"/>
      </w:r>
      <w:r>
        <w:instrText>tc "</w:instrText>
      </w:r>
      <w:bookmarkStart w:name="_Toc531859672" w:id="414"/>
      <w:bookmarkStart w:name="_Toc119238973" w:id="415"/>
      <w:r>
        <w:instrText>Article 17 - Indemnity</w:instrText>
      </w:r>
      <w:bookmarkEnd w:id="414"/>
      <w:bookmarkEnd w:id="415"/>
      <w:r>
        <w:instrText>” \f C \l 1</w:instrText>
      </w:r>
      <w:r>
        <w:fldChar w:fldCharType="end"/>
      </w:r>
      <w:r>
        <w:fldChar w:fldCharType="begin"/>
      </w:r>
      <w:r>
        <w:instrText xml:space="preserve"> TC </w:instrText>
      </w:r>
      <w:r>
        <w:fldChar w:fldCharType="end"/>
      </w:r>
    </w:p>
    <w:p w:rsidR="0079779A" w:rsidRDefault="003E5439" w14:paraId="4B07E48D" w14:textId="77777777">
      <w:pPr>
        <w:pStyle w:val="ArticleL2"/>
        <w:keepNext w:val="0"/>
      </w:pPr>
      <w:bookmarkStart w:name="_Toc433954041" w:id="416"/>
      <w:bookmarkStart w:name="_Toc433954199" w:id="417"/>
      <w:bookmarkStart w:name="_Toc288027301" w:id="418"/>
      <w:r>
        <w:rPr>
          <w:u w:val="single"/>
        </w:rPr>
        <w:t>Indemnification: General</w:t>
      </w:r>
      <w:r>
        <w:rPr>
          <w:color w:val="000000"/>
        </w:rPr>
        <w:fldChar w:fldCharType="begin"/>
      </w:r>
      <w:r>
        <w:rPr>
          <w:color w:val="000000"/>
        </w:rPr>
        <w:instrText>tc "</w:instrText>
      </w:r>
      <w:bookmarkStart w:name="_Toc531859673" w:id="419"/>
      <w:bookmarkStart w:name="_Toc119238974" w:id="420"/>
      <w:r>
        <w:rPr>
          <w:color w:val="000000"/>
        </w:rPr>
        <w:instrText>17.1</w:instrText>
      </w:r>
      <w:r>
        <w:rPr>
          <w:color w:val="000000"/>
        </w:rPr>
        <w:tab/>
        <w:instrText>Indemnification: General</w:instrText>
      </w:r>
      <w:bookmarkEnd w:id="419"/>
      <w:bookmarkEnd w:id="420"/>
      <w:r>
        <w:rPr>
          <w:color w:val="000000"/>
        </w:rPr>
        <w:instrText>” \f C \l 2</w:instrText>
      </w:r>
      <w:r>
        <w:rPr>
          <w:color w:val="000000"/>
        </w:rPr>
        <w:fldChar w:fldCharType="end"/>
      </w:r>
      <w:r>
        <w:t>.  Each Party (the “</w:t>
      </w:r>
      <w:r>
        <w:rPr>
          <w:u w:val="single"/>
        </w:rPr>
        <w:t>Indemnifying Party</w:t>
      </w:r>
      <w:r>
        <w:t xml:space="preserve">”) shall indemnify, </w:t>
      </w:r>
      <w:proofErr w:type="gramStart"/>
      <w:r>
        <w:t>defend</w:t>
      </w:r>
      <w:proofErr w:type="gramEnd"/>
      <w:r>
        <w:t xml:space="preserve"> and hold the other Party (the “</w:t>
      </w:r>
      <w:r>
        <w:rPr>
          <w:u w:val="single"/>
        </w:rPr>
        <w:t>Indemnified Party</w:t>
      </w:r>
      <w:r>
        <w:t>”) harmless from and against all claims, demands, lawsuits (including citizen suits), losses, liabilities, fines, penalties, and expenses (including attorneys’ fees) (generally, “</w:t>
      </w:r>
      <w:r>
        <w:rPr>
          <w:u w:val="single"/>
        </w:rPr>
        <w:t>Losses</w:t>
      </w:r>
      <w:r>
        <w:t>”), to the extent proximately caused by</w:t>
      </w:r>
      <w:bookmarkEnd w:id="416"/>
      <w:bookmarkEnd w:id="417"/>
      <w:r>
        <w:t xml:space="preserve"> </w:t>
      </w:r>
    </w:p>
    <w:p w:rsidR="0079779A" w:rsidRDefault="003E5439" w14:paraId="08D7E432" w14:textId="77777777">
      <w:pPr>
        <w:pStyle w:val="ArticleL2"/>
        <w:keepNext w:val="0"/>
        <w:numPr>
          <w:ilvl w:val="0"/>
          <w:numId w:val="34"/>
        </w:numPr>
      </w:pPr>
      <w:bookmarkStart w:name="_Toc433954042" w:id="421"/>
      <w:bookmarkStart w:name="_Toc433954200" w:id="422"/>
      <w:r>
        <w:t xml:space="preserve">a default under this PPA (including any breach by Seller of the Safety Requirements) by the Indemnifying </w:t>
      </w:r>
      <w:proofErr w:type="gramStart"/>
      <w:r>
        <w:t>Party;</w:t>
      </w:r>
      <w:bookmarkEnd w:id="421"/>
      <w:bookmarkEnd w:id="422"/>
      <w:proofErr w:type="gramEnd"/>
    </w:p>
    <w:p w:rsidR="0079779A" w:rsidRDefault="003E5439" w14:paraId="5D5A0603" w14:textId="77777777">
      <w:pPr>
        <w:pStyle w:val="ArticleL2"/>
        <w:keepNext w:val="0"/>
        <w:numPr>
          <w:ilvl w:val="0"/>
          <w:numId w:val="34"/>
        </w:numPr>
      </w:pPr>
      <w:bookmarkStart w:name="_Toc433954043" w:id="423"/>
      <w:bookmarkStart w:name="_Toc433954201" w:id="424"/>
      <w:r>
        <w:lastRenderedPageBreak/>
        <w:t>a violation or alleged violation of Applicable Laws by the Indemnifying Party; and</w:t>
      </w:r>
      <w:bookmarkEnd w:id="423"/>
      <w:bookmarkEnd w:id="424"/>
    </w:p>
    <w:p w:rsidR="0079779A" w:rsidRDefault="003E5439" w14:paraId="61A5959A" w14:textId="77777777">
      <w:pPr>
        <w:pStyle w:val="ArticleL2"/>
        <w:keepNext w:val="0"/>
        <w:numPr>
          <w:ilvl w:val="0"/>
          <w:numId w:val="34"/>
        </w:numPr>
      </w:pPr>
      <w:bookmarkStart w:name="_Toc433954044" w:id="425"/>
      <w:bookmarkStart w:name="_Toc433954202" w:id="426"/>
      <w:r>
        <w:t>the negligence, intentional acts and other misconduct of the directors, officers, employees, or agents of the Indemnifying Party.</w:t>
      </w:r>
      <w:bookmarkEnd w:id="425"/>
      <w:bookmarkEnd w:id="426"/>
      <w:r>
        <w:t xml:space="preserve">  </w:t>
      </w:r>
      <w:bookmarkEnd w:id="418"/>
    </w:p>
    <w:p w:rsidR="0079779A" w:rsidRDefault="003E5439" w14:paraId="28692018" w14:textId="77777777">
      <w:pPr>
        <w:pStyle w:val="ArticleL2"/>
        <w:keepNext w:val="0"/>
      </w:pPr>
      <w:bookmarkStart w:name="_Toc433954045" w:id="427"/>
      <w:bookmarkStart w:name="_Toc433954203" w:id="428"/>
      <w:bookmarkStart w:name="_Toc288027302" w:id="429"/>
      <w:r>
        <w:rPr>
          <w:u w:val="single"/>
        </w:rPr>
        <w:t>Indemnification: Environmental</w:t>
      </w:r>
      <w:r>
        <w:rPr>
          <w:color w:val="000000"/>
        </w:rPr>
        <w:fldChar w:fldCharType="begin"/>
      </w:r>
      <w:r>
        <w:rPr>
          <w:color w:val="000000"/>
        </w:rPr>
        <w:instrText>tc "</w:instrText>
      </w:r>
      <w:bookmarkStart w:name="_Toc439657544" w:id="430"/>
      <w:bookmarkStart w:name="_Toc531859674" w:id="431"/>
      <w:bookmarkStart w:name="_Toc119238975" w:id="432"/>
      <w:r>
        <w:rPr>
          <w:color w:val="000000"/>
        </w:rPr>
        <w:instrText>17.2</w:instrText>
      </w:r>
      <w:r>
        <w:rPr>
          <w:color w:val="000000"/>
        </w:rPr>
        <w:tab/>
        <w:instrText>Indemnification</w:instrText>
      </w:r>
      <w:bookmarkEnd w:id="430"/>
      <w:r>
        <w:rPr>
          <w:color w:val="000000"/>
        </w:rPr>
        <w:instrText>: Environmental</w:instrText>
      </w:r>
      <w:bookmarkEnd w:id="431"/>
      <w:bookmarkEnd w:id="432"/>
      <w:r>
        <w:rPr>
          <w:color w:val="000000"/>
        </w:rPr>
        <w:instrText>” \f C \l 2</w:instrText>
      </w:r>
      <w:r>
        <w:rPr>
          <w:color w:val="000000"/>
        </w:rPr>
        <w:fldChar w:fldCharType="end"/>
      </w:r>
      <w:r>
        <w:t xml:space="preserve">.  Seller shall indemnify, defend and hold Company harmless from and against all Losses arising out of any claim by any Governmental Authority or other third party alleging Environmental Contamination at the Site and/or illegal disposal of Hazardous Materials </w:t>
      </w:r>
      <w:proofErr w:type="gramStart"/>
      <w:r>
        <w:t>off-Site</w:t>
      </w:r>
      <w:proofErr w:type="gramEnd"/>
      <w:r>
        <w:t xml:space="preserve">, regardless of merit and regardless of Seller’s responsibility therefor. </w:t>
      </w:r>
    </w:p>
    <w:p w:rsidR="0079779A" w:rsidRDefault="003E5439" w14:paraId="640108D1" w14:textId="77777777">
      <w:pPr>
        <w:pStyle w:val="ArticleL2"/>
        <w:keepNext w:val="0"/>
      </w:pPr>
      <w:proofErr w:type="gramStart"/>
      <w:r>
        <w:rPr>
          <w:u w:val="single"/>
        </w:rPr>
        <w:t>Indemnification;</w:t>
      </w:r>
      <w:proofErr w:type="gramEnd"/>
      <w:r>
        <w:rPr>
          <w:u w:val="single"/>
        </w:rPr>
        <w:t xml:space="preserve"> Company Remote Start of Facility</w:t>
      </w:r>
      <w:r>
        <w:t xml:space="preserve">.  Should Company remotely start the Facility, Seller shall indemnify, </w:t>
      </w:r>
      <w:proofErr w:type="gramStart"/>
      <w:r>
        <w:t>defend</w:t>
      </w:r>
      <w:proofErr w:type="gramEnd"/>
      <w:r>
        <w:t xml:space="preserve"> and hold Company harmless from and against all claims, demands, lawsuits (including citizen suits), losses, liabilities, fines, penalties, and expenses (including attorneys' fees) that may result therefrom.</w:t>
      </w:r>
    </w:p>
    <w:p w:rsidR="0079779A" w:rsidRDefault="003E5439" w14:paraId="16BC1A70" w14:textId="77777777">
      <w:pPr>
        <w:pStyle w:val="ArticleL2"/>
        <w:keepNext w:val="0"/>
      </w:pPr>
      <w:r>
        <w:rPr>
          <w:u w:val="single"/>
        </w:rPr>
        <w:t>Limitations</w:t>
      </w:r>
      <w:r>
        <w:fldChar w:fldCharType="begin"/>
      </w:r>
      <w:r>
        <w:instrText>tc "</w:instrText>
      </w:r>
      <w:bookmarkStart w:name="_Toc531859676" w:id="433"/>
      <w:bookmarkStart w:name="_Toc119238976" w:id="434"/>
      <w:r>
        <w:instrText>17.4</w:instrText>
      </w:r>
      <w:r>
        <w:tab/>
        <w:instrText>Limitations</w:instrText>
      </w:r>
      <w:bookmarkEnd w:id="433"/>
      <w:bookmarkEnd w:id="434"/>
      <w:r>
        <w:instrText>” \f C \l 2</w:instrText>
      </w:r>
      <w:r>
        <w:fldChar w:fldCharType="end"/>
      </w:r>
      <w:r>
        <w:t xml:space="preserve">.  </w:t>
      </w:r>
    </w:p>
    <w:p w:rsidR="0079779A" w:rsidRDefault="003E5439" w14:paraId="494EEC5D" w14:textId="77777777">
      <w:pPr>
        <w:pStyle w:val="ArticleL3"/>
        <w:keepNext w:val="0"/>
      </w:pPr>
      <w:r>
        <w:t xml:space="preserve">The foregoing indemnification obligations shall apply notwithstanding any contributory misconduct of the Indemnified Party, but the Indemnifying Party’s liability to indemnify the Indemnified Party shall be reduced in proportion to the percentage by which the Indemnified Party’s misconduct caused the damages.  </w:t>
      </w:r>
    </w:p>
    <w:p w:rsidR="0079779A" w:rsidRDefault="003E5439" w14:paraId="73CE9608" w14:textId="77777777">
      <w:pPr>
        <w:pStyle w:val="ArticleL3"/>
        <w:keepNext w:val="0"/>
      </w:pPr>
      <w:r>
        <w:t xml:space="preserve">Neither Party shall be indemnified for Losses resulting from the sole negligence or willful misconduct of the directors, officers, employees, or agents of such Party.  </w:t>
      </w:r>
    </w:p>
    <w:p w:rsidR="0079779A" w:rsidRDefault="003E5439" w14:paraId="575EA079" w14:textId="77777777">
      <w:pPr>
        <w:pStyle w:val="ArticleL3"/>
        <w:keepNext w:val="0"/>
      </w:pPr>
      <w:r>
        <w:t xml:space="preserve">These indemnity provisions shall not be construed to relieve any insurer of its obligation to pay claims consistent with the provisions of a valid insurance policy.  Nothing in this </w:t>
      </w:r>
      <w:r>
        <w:rPr>
          <w:u w:val="single"/>
        </w:rPr>
        <w:t>Section 17.1</w:t>
      </w:r>
      <w:r>
        <w:t xml:space="preserve"> shall enlarge or relieve Seller or Company of any liability to the other for any breach of this PPA.</w:t>
      </w:r>
    </w:p>
    <w:p w:rsidR="0079779A" w:rsidRDefault="003E5439" w14:paraId="643F2DA1" w14:textId="77777777">
      <w:pPr>
        <w:pStyle w:val="ArticleL2"/>
        <w:keepNext w:val="0"/>
      </w:pPr>
      <w:r>
        <w:rPr>
          <w:u w:val="single"/>
        </w:rPr>
        <w:t>Procedures</w:t>
      </w:r>
      <w:r>
        <w:fldChar w:fldCharType="begin"/>
      </w:r>
      <w:r>
        <w:instrText>tc "</w:instrText>
      </w:r>
      <w:bookmarkStart w:name="_Toc531859677" w:id="435"/>
      <w:bookmarkStart w:name="_Toc119238977" w:id="436"/>
      <w:r>
        <w:instrText>17.5</w:instrText>
      </w:r>
      <w:r>
        <w:tab/>
        <w:instrText>Procedures</w:instrText>
      </w:r>
      <w:bookmarkEnd w:id="435"/>
      <w:bookmarkEnd w:id="436"/>
      <w:r>
        <w:instrText>” \f C \l 2</w:instrText>
      </w:r>
      <w:r>
        <w:fldChar w:fldCharType="end"/>
      </w:r>
      <w:r>
        <w:t>.</w:t>
      </w:r>
      <w:bookmarkEnd w:id="427"/>
      <w:bookmarkEnd w:id="428"/>
      <w:r>
        <w:t xml:space="preserve">  </w:t>
      </w:r>
    </w:p>
    <w:p w:rsidR="0079779A" w:rsidRDefault="003E5439" w14:paraId="66C65400" w14:textId="77777777">
      <w:pPr>
        <w:pStyle w:val="ArticleL3"/>
        <w:keepNext w:val="0"/>
      </w:pPr>
      <w:r>
        <w:t xml:space="preserve">Promptly after receipt by a Party of any claim or notice of the commencement of any action, administrative, or legal proceeding, or investigation as to which the indemnity provided for in this </w:t>
      </w:r>
      <w:r>
        <w:rPr>
          <w:u w:val="single"/>
        </w:rPr>
        <w:t>Article 17</w:t>
      </w:r>
      <w:r>
        <w:t xml:space="preserve"> may apply, the Indemnified Party shall provide notice thereof to the Indemnifying Party; </w:t>
      </w:r>
      <w:r>
        <w:rPr>
          <w:i/>
        </w:rPr>
        <w:t>provided</w:t>
      </w:r>
      <w:r>
        <w:t xml:space="preserve"> that a delay in providing such notice shall limit the obligations of the Indemnifying Party only to the extent that such delay actually prejudices the ability of the Indemnifying Party to contest the claim or defend the proceeding.  </w:t>
      </w:r>
    </w:p>
    <w:p w:rsidR="0079779A" w:rsidRDefault="003E5439" w14:paraId="61916E06" w14:textId="77777777">
      <w:pPr>
        <w:pStyle w:val="ArticleL3"/>
        <w:keepNext w:val="0"/>
      </w:pPr>
      <w:r>
        <w:t xml:space="preserve">The Indemnifying Party shall assume the defense thereof with counsel designated by such Party and satisfactory to the Indemnified Party, </w:t>
      </w:r>
      <w:r>
        <w:rPr>
          <w:i/>
        </w:rPr>
        <w:t xml:space="preserve">provided, however, </w:t>
      </w:r>
      <w:r>
        <w:t>if the defendants in any such action include both the Indemnified Party and the Indemnifying Party, and the Indemnified Party shall reasonably conclude that there may be legal defenses available to it which are different from or additional to, or inconsistent with, those available to the Indemnifying Party, the Indemnified Party shall have the right to select and be represented by separate counsel, at the Indemnifying Party’s expense.</w:t>
      </w:r>
      <w:bookmarkEnd w:id="429"/>
    </w:p>
    <w:p w:rsidR="0079779A" w:rsidRDefault="003E5439" w14:paraId="2336B6D8" w14:textId="77777777">
      <w:pPr>
        <w:pStyle w:val="ArticleL3"/>
        <w:keepNext w:val="0"/>
      </w:pPr>
      <w:bookmarkStart w:name="_Toc288027303" w:id="437"/>
      <w:r>
        <w:lastRenderedPageBreak/>
        <w:t xml:space="preserve">If an Indemnifying Party fails to assume the defense of a claim meriting indemnification, the Indemnified Party may contest, settle, or pay such claim at the expense of the Indemnifying Party, </w:t>
      </w:r>
      <w:r>
        <w:rPr>
          <w:i/>
        </w:rPr>
        <w:t>provided, however, that</w:t>
      </w:r>
      <w:r>
        <w:t xml:space="preserve"> settlement or full payment of any such claim may be made only following consent of the Indemnifying Party or, absent such consent, written opinion of the Indemnified Party’s counsel that such claim is meritorious or otherwise warrants settlement.</w:t>
      </w:r>
      <w:bookmarkEnd w:id="437"/>
    </w:p>
    <w:p w:rsidR="0079779A" w:rsidRDefault="003E5439" w14:paraId="05114E12" w14:textId="77777777">
      <w:pPr>
        <w:pStyle w:val="ArticleL2"/>
        <w:keepNext w:val="0"/>
      </w:pPr>
      <w:bookmarkStart w:name="_Toc288027304" w:id="438"/>
      <w:bookmarkStart w:name="_Toc433954046" w:id="439"/>
      <w:bookmarkStart w:name="_Toc433954204" w:id="440"/>
      <w:r>
        <w:rPr>
          <w:u w:val="single"/>
        </w:rPr>
        <w:t>Amounts Owed</w:t>
      </w:r>
      <w:r>
        <w:rPr>
          <w:color w:val="000000"/>
        </w:rPr>
        <w:fldChar w:fldCharType="begin"/>
      </w:r>
      <w:r>
        <w:rPr>
          <w:color w:val="000000"/>
        </w:rPr>
        <w:instrText>tc "</w:instrText>
      </w:r>
      <w:bookmarkStart w:name="_Toc531859678" w:id="441"/>
      <w:bookmarkStart w:name="_Toc119238978" w:id="442"/>
      <w:r>
        <w:rPr>
          <w:color w:val="000000"/>
        </w:rPr>
        <w:instrText>17.6</w:instrText>
      </w:r>
      <w:r>
        <w:rPr>
          <w:color w:val="000000"/>
        </w:rPr>
        <w:tab/>
        <w:instrText>Amounts Owed</w:instrText>
      </w:r>
      <w:bookmarkEnd w:id="441"/>
      <w:bookmarkEnd w:id="442"/>
      <w:r>
        <w:rPr>
          <w:color w:val="000000"/>
        </w:rPr>
        <w:instrText>” \f C \l 2</w:instrText>
      </w:r>
      <w:r>
        <w:rPr>
          <w:color w:val="000000"/>
        </w:rPr>
        <w:fldChar w:fldCharType="end"/>
      </w:r>
      <w:r>
        <w:t xml:space="preserve">. In the event that a Party is obligated for indemnification under this </w:t>
      </w:r>
      <w:r>
        <w:rPr>
          <w:u w:val="single"/>
        </w:rPr>
        <w:t>Article 17</w:t>
      </w:r>
      <w:r>
        <w:t>, the amount owing to the Indemnified Party will be the amount of the Indemnified Party’s actual Losses net of any insurance proceeds received by the Indemnified Party following a Commercially Reasonable effort by the Indemnified Party to obtain such insurance proceeds.</w:t>
      </w:r>
      <w:bookmarkEnd w:id="438"/>
      <w:bookmarkEnd w:id="439"/>
      <w:bookmarkEnd w:id="440"/>
    </w:p>
    <w:p w:rsidR="0079779A" w:rsidRDefault="003E5439" w14:paraId="03ECB49A" w14:textId="77777777">
      <w:pPr>
        <w:pStyle w:val="ArticleL1"/>
        <w:keepNext w:val="0"/>
      </w:pPr>
      <w:bookmarkStart w:name="_Toc288027305" w:id="443"/>
      <w:bookmarkStart w:name="_Toc433954047" w:id="444"/>
      <w:bookmarkStart w:name="_Toc433954205" w:id="445"/>
      <w:r>
        <w:t>Lender Provisions</w:t>
      </w:r>
      <w:bookmarkEnd w:id="443"/>
      <w:bookmarkEnd w:id="444"/>
      <w:bookmarkEnd w:id="445"/>
      <w:r>
        <w:fldChar w:fldCharType="begin"/>
      </w:r>
      <w:r>
        <w:instrText>tc "</w:instrText>
      </w:r>
      <w:bookmarkStart w:name="_Toc531859679" w:id="446"/>
      <w:bookmarkStart w:name="_Toc119238979" w:id="447"/>
      <w:r>
        <w:instrText>Article 18 – Lender Provisions</w:instrText>
      </w:r>
      <w:bookmarkEnd w:id="446"/>
      <w:bookmarkEnd w:id="447"/>
      <w:r>
        <w:instrText>” \f C \l 1</w:instrText>
      </w:r>
      <w:r>
        <w:fldChar w:fldCharType="end"/>
      </w:r>
      <w:r>
        <w:fldChar w:fldCharType="begin"/>
      </w:r>
      <w:r>
        <w:instrText xml:space="preserve"> TC </w:instrText>
      </w:r>
      <w:r>
        <w:fldChar w:fldCharType="end"/>
      </w:r>
    </w:p>
    <w:p w:rsidR="0079779A" w:rsidRDefault="003E5439" w14:paraId="2AD923EE" w14:textId="77777777">
      <w:pPr>
        <w:pStyle w:val="ArticleL2"/>
        <w:keepNext w:val="0"/>
      </w:pPr>
      <w:bookmarkStart w:name="_Toc433954048" w:id="448"/>
      <w:bookmarkStart w:name="_Toc433954206" w:id="449"/>
      <w:bookmarkStart w:name="_Toc288027306" w:id="450"/>
      <w:r>
        <w:rPr>
          <w:u w:val="single"/>
        </w:rPr>
        <w:t>Accommodation of Facility Lender</w:t>
      </w:r>
      <w:r>
        <w:fldChar w:fldCharType="begin"/>
      </w:r>
      <w:r>
        <w:instrText>tc "</w:instrText>
      </w:r>
      <w:bookmarkStart w:name="_Toc531859680" w:id="451"/>
      <w:bookmarkStart w:name="_Toc119238980" w:id="452"/>
      <w:r>
        <w:instrText>18.1</w:instrText>
      </w:r>
      <w:r>
        <w:tab/>
        <w:instrText>Accommodation of Facility Lender</w:instrText>
      </w:r>
      <w:bookmarkEnd w:id="451"/>
      <w:bookmarkEnd w:id="452"/>
      <w:r>
        <w:instrText>” \f C \l 2</w:instrText>
      </w:r>
      <w:r>
        <w:fldChar w:fldCharType="end"/>
      </w:r>
      <w:r>
        <w:t>.</w:t>
      </w:r>
      <w:bookmarkEnd w:id="448"/>
      <w:bookmarkEnd w:id="449"/>
      <w:r>
        <w:t xml:space="preserve">  </w:t>
      </w:r>
    </w:p>
    <w:p w:rsidR="0079779A" w:rsidRDefault="003E5439" w14:paraId="67442CD6" w14:textId="77777777">
      <w:pPr>
        <w:pStyle w:val="ArticleL3"/>
        <w:keepNext w:val="0"/>
      </w:pPr>
      <w:r>
        <w:t xml:space="preserve">Company shall provide such consents to collateral assignment, certifications, representations, estoppels, </w:t>
      </w:r>
      <w:proofErr w:type="gramStart"/>
      <w:r>
        <w:t>information</w:t>
      </w:r>
      <w:proofErr w:type="gramEnd"/>
      <w:r>
        <w:t xml:space="preserve"> or other documents, as may be reasonably requested by Seller in connection with the financing of the Facility consistent with the terms set forth in </w:t>
      </w:r>
      <w:r>
        <w:rPr>
          <w:u w:val="single"/>
        </w:rPr>
        <w:t>Exhibit K – Lender Consent Provisions</w:t>
      </w:r>
      <w:r>
        <w:t xml:space="preserve"> (generally, a “</w:t>
      </w:r>
      <w:r>
        <w:rPr>
          <w:u w:val="single"/>
        </w:rPr>
        <w:t>Lender Consent</w:t>
      </w:r>
      <w:r>
        <w:t xml:space="preserve">”), </w:t>
      </w:r>
      <w:r>
        <w:rPr>
          <w:i/>
        </w:rPr>
        <w:t xml:space="preserve">provided, however, </w:t>
      </w:r>
      <w:r>
        <w:t xml:space="preserve">that in providing a Lender Consent, Company shall have no obligation to </w:t>
      </w:r>
    </w:p>
    <w:p w:rsidR="0079779A" w:rsidRDefault="003E5439" w14:paraId="3D79039B" w14:textId="77777777">
      <w:pPr>
        <w:pStyle w:val="ArticleL4"/>
        <w:keepNext w:val="0"/>
      </w:pPr>
      <w:r>
        <w:t xml:space="preserve">modify the terms of this </w:t>
      </w:r>
      <w:proofErr w:type="gramStart"/>
      <w:r>
        <w:t>PPA;</w:t>
      </w:r>
      <w:proofErr w:type="gramEnd"/>
    </w:p>
    <w:p w:rsidR="0079779A" w:rsidRDefault="003E5439" w14:paraId="668C206E" w14:textId="77777777">
      <w:pPr>
        <w:pStyle w:val="ArticleL4"/>
        <w:keepNext w:val="0"/>
      </w:pPr>
      <w:r>
        <w:t xml:space="preserve">provide any consent or enter into any agreement that has a Material Adverse Effect on any of Company’s rights, benefits, risks, or obligations under this </w:t>
      </w:r>
      <w:proofErr w:type="gramStart"/>
      <w:r>
        <w:t>PPA;</w:t>
      </w:r>
      <w:proofErr w:type="gramEnd"/>
    </w:p>
    <w:p w:rsidR="0079779A" w:rsidRDefault="003E5439" w14:paraId="28C514F9" w14:textId="77777777">
      <w:pPr>
        <w:pStyle w:val="ArticleL4"/>
        <w:keepNext w:val="0"/>
      </w:pPr>
      <w:r>
        <w:t xml:space="preserve">transfer or release any property or property interests of </w:t>
      </w:r>
      <w:proofErr w:type="gramStart"/>
      <w:r>
        <w:t>Company;</w:t>
      </w:r>
      <w:proofErr w:type="gramEnd"/>
    </w:p>
    <w:p w:rsidR="0079779A" w:rsidRDefault="003E5439" w14:paraId="2BC25559" w14:textId="77777777">
      <w:pPr>
        <w:pStyle w:val="ArticleL4"/>
        <w:keepNext w:val="0"/>
      </w:pPr>
      <w:r>
        <w:t>release or subordinate (or cause the release or subordination) of any lien on any property of Company for the benefit of Seller or the Facility Lender; or</w:t>
      </w:r>
    </w:p>
    <w:p w:rsidR="0079779A" w:rsidRDefault="003E5439" w14:paraId="5950F658" w14:textId="77777777">
      <w:pPr>
        <w:pStyle w:val="ArticleL4"/>
        <w:keepNext w:val="0"/>
      </w:pPr>
      <w:r>
        <w:t xml:space="preserve">permit any lien to be placed on property of Company.   </w:t>
      </w:r>
    </w:p>
    <w:p w:rsidR="0079779A" w:rsidRDefault="003E5439" w14:paraId="120784F5" w14:textId="77777777">
      <w:pPr>
        <w:pStyle w:val="ArticleL3"/>
        <w:keepNext w:val="0"/>
      </w:pPr>
      <w:r>
        <w:t xml:space="preserve">Seller shall reimburse, or shall cause the Facility Lender to reimburse, Company for the direct expenses (including the fees and expenses of counsel) incurred by Company in the preparation, negotiation, execution and/or delivery of each Lender Consent and any documents requested by Seller or the Facility Lender pursuant to this </w:t>
      </w:r>
      <w:r>
        <w:rPr>
          <w:u w:val="single"/>
        </w:rPr>
        <w:t>Section 18.1</w:t>
      </w:r>
      <w:r>
        <w:t xml:space="preserve">.  </w:t>
      </w:r>
      <w:bookmarkEnd w:id="450"/>
    </w:p>
    <w:p w:rsidR="0079779A" w:rsidRDefault="003E5439" w14:paraId="45846F90" w14:textId="77777777">
      <w:pPr>
        <w:pStyle w:val="ArticleL2"/>
        <w:keepNext w:val="0"/>
      </w:pPr>
      <w:bookmarkStart w:name="_Toc433954049" w:id="453"/>
      <w:bookmarkStart w:name="_Toc433954207" w:id="454"/>
      <w:bookmarkStart w:name="_Toc288027307" w:id="455"/>
      <w:r>
        <w:rPr>
          <w:u w:val="single"/>
        </w:rPr>
        <w:t>Notices</w:t>
      </w:r>
      <w:r>
        <w:fldChar w:fldCharType="begin"/>
      </w:r>
      <w:r>
        <w:instrText>tc "</w:instrText>
      </w:r>
      <w:bookmarkStart w:name="_Toc531859681" w:id="456"/>
      <w:bookmarkStart w:name="_Toc119238981" w:id="457"/>
      <w:r>
        <w:instrText>18.2</w:instrText>
      </w:r>
      <w:r>
        <w:tab/>
        <w:instrText>Notices</w:instrText>
      </w:r>
      <w:bookmarkEnd w:id="456"/>
      <w:bookmarkEnd w:id="457"/>
      <w:r>
        <w:instrText>” \f C \l 2</w:instrText>
      </w:r>
      <w:r>
        <w:fldChar w:fldCharType="end"/>
      </w:r>
      <w:r>
        <w:t>.</w:t>
      </w:r>
      <w:bookmarkEnd w:id="453"/>
      <w:bookmarkEnd w:id="454"/>
      <w:r>
        <w:t xml:space="preserve">  </w:t>
      </w:r>
    </w:p>
    <w:p w:rsidR="0079779A" w:rsidRDefault="003E5439" w14:paraId="04B8C8E0" w14:textId="77777777">
      <w:pPr>
        <w:pStyle w:val="ArticleL3"/>
        <w:keepNext w:val="0"/>
      </w:pPr>
      <w:r>
        <w:t xml:space="preserve">Seller shall provide Company with a notice identifying the Facility Lender and providing appropriate contact information for the Facility Lender.  Following receipt of such notice, Company shall provide to the Facility Lender a copy of each notice of alleged default delivered to Seller under </w:t>
      </w:r>
      <w:r>
        <w:rPr>
          <w:u w:val="single"/>
        </w:rPr>
        <w:t>Section 12.1</w:t>
      </w:r>
      <w:r>
        <w:t xml:space="preserve"> or </w:t>
      </w:r>
      <w:r>
        <w:rPr>
          <w:u w:val="single"/>
        </w:rPr>
        <w:t>Section 12.2</w:t>
      </w:r>
      <w:r>
        <w:t xml:space="preserve">, and Company will accept a cure thereof performed by the Facility Lender, so long as the cure is </w:t>
      </w:r>
      <w:r>
        <w:lastRenderedPageBreak/>
        <w:t>accomplished within the applicable cure period set forth in this PPA or the relevant Lender Consent.</w:t>
      </w:r>
      <w:bookmarkEnd w:id="455"/>
    </w:p>
    <w:bookmarkStart w:name="_Toc288027308" w:id="458"/>
    <w:p w:rsidR="0079779A" w:rsidRDefault="003E5439" w14:paraId="3FFED985" w14:textId="77777777">
      <w:pPr>
        <w:pStyle w:val="ArticleL3"/>
        <w:keepNext w:val="0"/>
      </w:pPr>
      <w:r>
        <w:fldChar w:fldCharType="begin"/>
      </w:r>
      <w:r>
        <w:instrText xml:space="preserve"> TC </w:instrText>
      </w:r>
      <w:r>
        <w:fldChar w:fldCharType="end"/>
      </w:r>
      <w:r>
        <w:t>Within ten (10) Days following Seller’s receipt of each notice of default or Facility Lender’s intent to exercise any remedies under the Financing Documents, Seller shall deliver a copy of such notice to Company.</w:t>
      </w:r>
      <w:bookmarkEnd w:id="458"/>
    </w:p>
    <w:p w:rsidR="0079779A" w:rsidRDefault="003E5439" w14:paraId="2EEB9A3C" w14:textId="77777777">
      <w:pPr>
        <w:pStyle w:val="ArticleL1"/>
        <w:keepNext w:val="0"/>
      </w:pPr>
      <w:bookmarkStart w:name="_Toc288027310" w:id="459"/>
      <w:bookmarkStart w:name="_Toc433954050" w:id="460"/>
      <w:bookmarkStart w:name="_Toc433954208" w:id="461"/>
      <w:r>
        <w:t>Assignment</w:t>
      </w:r>
      <w:bookmarkEnd w:id="459"/>
      <w:bookmarkEnd w:id="460"/>
      <w:bookmarkEnd w:id="461"/>
      <w:r>
        <w:fldChar w:fldCharType="begin"/>
      </w:r>
      <w:r>
        <w:instrText>tc "</w:instrText>
      </w:r>
      <w:bookmarkStart w:name="_Toc531859682" w:id="462"/>
      <w:bookmarkStart w:name="_Toc119238982" w:id="463"/>
      <w:r>
        <w:instrText>Article 19 - Assignment</w:instrText>
      </w:r>
      <w:bookmarkEnd w:id="462"/>
      <w:bookmarkEnd w:id="463"/>
      <w:r>
        <w:instrText>” \f C \l 1</w:instrText>
      </w:r>
      <w:r>
        <w:fldChar w:fldCharType="end"/>
      </w:r>
      <w:r>
        <w:fldChar w:fldCharType="begin"/>
      </w:r>
      <w:r>
        <w:instrText xml:space="preserve"> TC </w:instrText>
      </w:r>
      <w:r>
        <w:fldChar w:fldCharType="end"/>
      </w:r>
    </w:p>
    <w:p w:rsidR="0079779A" w:rsidRDefault="003E5439" w14:paraId="1F88BE40" w14:textId="77777777">
      <w:pPr>
        <w:pStyle w:val="ArticleL2"/>
        <w:keepNext w:val="0"/>
      </w:pPr>
      <w:bookmarkStart w:name="_Toc433954051" w:id="464"/>
      <w:bookmarkStart w:name="_Toc433954209" w:id="465"/>
      <w:bookmarkStart w:name="_Toc288027311" w:id="466"/>
      <w:r>
        <w:rPr>
          <w:u w:val="single"/>
        </w:rPr>
        <w:t>Assignment by Seller</w:t>
      </w:r>
      <w:r>
        <w:fldChar w:fldCharType="begin"/>
      </w:r>
      <w:r>
        <w:instrText>tc "</w:instrText>
      </w:r>
      <w:bookmarkStart w:name="_Toc531859683" w:id="467"/>
      <w:bookmarkStart w:name="_Toc119238983" w:id="468"/>
      <w:r>
        <w:instrText>19.1</w:instrText>
      </w:r>
      <w:r>
        <w:tab/>
        <w:instrText>Assignment by Seller</w:instrText>
      </w:r>
      <w:bookmarkEnd w:id="467"/>
      <w:bookmarkEnd w:id="468"/>
      <w:r>
        <w:instrText>” \f C \l 2</w:instrText>
      </w:r>
      <w:r>
        <w:fldChar w:fldCharType="end"/>
      </w:r>
      <w:r>
        <w:t>.</w:t>
      </w:r>
      <w:bookmarkEnd w:id="464"/>
      <w:bookmarkEnd w:id="465"/>
      <w:r>
        <w:t xml:space="preserve">  </w:t>
      </w:r>
    </w:p>
    <w:p w:rsidR="0079779A" w:rsidRDefault="003E5439" w14:paraId="5BF7578B" w14:textId="77777777">
      <w:pPr>
        <w:pStyle w:val="ArticleL3"/>
        <w:keepNext w:val="0"/>
      </w:pPr>
      <w:r>
        <w:t xml:space="preserve">Seller shall not sell, </w:t>
      </w:r>
      <w:proofErr w:type="gramStart"/>
      <w:r>
        <w:t>exchange</w:t>
      </w:r>
      <w:proofErr w:type="gramEnd"/>
      <w:r>
        <w:t xml:space="preserve"> or otherwise transfer the Facility or any material portion thereof to any third party, nor shall Seller undergo any Change of Control (whether voluntary or by operation of law), absent the prior written consent of Company, which shall not be unreasonably withheld or delayed.  Company shall have no obligation to provide any consent under this Article 19 unless </w:t>
      </w:r>
    </w:p>
    <w:p w:rsidR="0079779A" w:rsidRDefault="003E5439" w14:paraId="3AE65579" w14:textId="77777777">
      <w:pPr>
        <w:pStyle w:val="ArticleL4"/>
        <w:keepNext w:val="0"/>
        <w:numPr>
          <w:ilvl w:val="0"/>
          <w:numId w:val="62"/>
        </w:numPr>
        <w:ind w:left="0" w:firstLine="1260"/>
      </w:pPr>
      <w:r>
        <w:t xml:space="preserve">Seller has complied with </w:t>
      </w:r>
      <w:r>
        <w:rPr>
          <w:u w:val="single"/>
        </w:rPr>
        <w:t>Sections 19.3</w:t>
      </w:r>
      <w:r>
        <w:t xml:space="preserve"> and </w:t>
      </w:r>
      <w:r>
        <w:rPr>
          <w:u w:val="single"/>
        </w:rPr>
        <w:t>19.4</w:t>
      </w:r>
      <w:r>
        <w:t xml:space="preserve"> if and as </w:t>
      </w:r>
      <w:proofErr w:type="gramStart"/>
      <w:r>
        <w:t>applicable;</w:t>
      </w:r>
      <w:proofErr w:type="gramEnd"/>
    </w:p>
    <w:p w:rsidR="0079779A" w:rsidRDefault="003E5439" w14:paraId="3169E4F7" w14:textId="77777777">
      <w:pPr>
        <w:pStyle w:val="ArticleL4"/>
        <w:keepNext w:val="0"/>
        <w:numPr>
          <w:ilvl w:val="0"/>
          <w:numId w:val="62"/>
        </w:numPr>
        <w:ind w:left="0" w:firstLine="1260"/>
      </w:pPr>
      <w:r>
        <w:t xml:space="preserve">Seller has provided to Company such information concerning the transferee’s direct and indirect ownership as Company reasonably </w:t>
      </w:r>
      <w:proofErr w:type="gramStart"/>
      <w:r>
        <w:t>requests;</w:t>
      </w:r>
      <w:proofErr w:type="gramEnd"/>
    </w:p>
    <w:p w:rsidR="0079779A" w:rsidRDefault="003E5439" w14:paraId="4681A1AF" w14:textId="77777777">
      <w:pPr>
        <w:pStyle w:val="ArticleL4"/>
        <w:keepNext w:val="0"/>
        <w:numPr>
          <w:ilvl w:val="0"/>
          <w:numId w:val="62"/>
        </w:numPr>
        <w:ind w:left="0" w:firstLine="1260"/>
      </w:pPr>
      <w:r>
        <w:t xml:space="preserve">the transferee has substantial experience in the operation of power energy storage facilities akin to the Facility, either directly, through its affiliates or through a Qualified </w:t>
      </w:r>
      <w:proofErr w:type="gramStart"/>
      <w:r>
        <w:t>Operator;</w:t>
      </w:r>
      <w:proofErr w:type="gramEnd"/>
    </w:p>
    <w:p w:rsidR="0079779A" w:rsidRDefault="003E5439" w14:paraId="76249B20" w14:textId="77777777">
      <w:pPr>
        <w:pStyle w:val="ArticleL4"/>
        <w:keepNext w:val="0"/>
        <w:numPr>
          <w:ilvl w:val="0"/>
          <w:numId w:val="62"/>
        </w:numPr>
        <w:ind w:left="0" w:firstLine="1260"/>
      </w:pPr>
      <w:r>
        <w:t xml:space="preserve">the transferee (together with its parents and affiliates) possesses an Investment Grade Credit Rating or other creditworthiness satisfactory to </w:t>
      </w:r>
      <w:proofErr w:type="gramStart"/>
      <w:r>
        <w:t>Company;</w:t>
      </w:r>
      <w:proofErr w:type="gramEnd"/>
      <w:r>
        <w:t xml:space="preserve"> </w:t>
      </w:r>
    </w:p>
    <w:p w:rsidR="0079779A" w:rsidRDefault="003E5439" w14:paraId="756011AF" w14:textId="77777777">
      <w:pPr>
        <w:pStyle w:val="ArticleL4"/>
        <w:keepNext w:val="0"/>
        <w:numPr>
          <w:ilvl w:val="0"/>
          <w:numId w:val="62"/>
        </w:numPr>
        <w:ind w:left="0" w:firstLine="1260"/>
      </w:pPr>
      <w:r>
        <w:t xml:space="preserve">Seller has provided to Company at least thirty (30) Days’ prior notice of the transaction; and </w:t>
      </w:r>
    </w:p>
    <w:p w:rsidR="0079779A" w:rsidRDefault="003E5439" w14:paraId="0193588B" w14:textId="77777777">
      <w:pPr>
        <w:pStyle w:val="ArticleL4"/>
        <w:keepNext w:val="0"/>
        <w:numPr>
          <w:ilvl w:val="0"/>
          <w:numId w:val="62"/>
        </w:numPr>
        <w:ind w:left="0" w:firstLine="1260"/>
      </w:pPr>
      <w:r>
        <w:t>Seller pays or reimburses Company for the direct expenses (including the fees and expenses of counsel) incurred by Company in connection with the transaction.</w:t>
      </w:r>
    </w:p>
    <w:p w:rsidR="0079779A" w:rsidRDefault="003E5439" w14:paraId="0CB88A9D" w14:textId="77777777">
      <w:pPr>
        <w:pStyle w:val="ArticleL3"/>
        <w:keepNext w:val="0"/>
      </w:pPr>
      <w:r>
        <w:t>Any Change of Control or sale, transfer, or assignment of any interest in the Facility effected without fulfilling the requirements of this PPA shall be null, void and a breach of this PPA.</w:t>
      </w:r>
    </w:p>
    <w:p w:rsidR="0079779A" w:rsidRDefault="003E5439" w14:paraId="1EAA72C5" w14:textId="77777777">
      <w:pPr>
        <w:pStyle w:val="ArticleL3"/>
        <w:keepNext w:val="0"/>
      </w:pPr>
      <w:r>
        <w:t xml:space="preserve">Seller shall assign this PPA to any successor owner of the </w:t>
      </w:r>
      <w:proofErr w:type="gramStart"/>
      <w:r>
        <w:t>Facility, and</w:t>
      </w:r>
      <w:proofErr w:type="gramEnd"/>
      <w:r>
        <w:t xml:space="preserve"> shall cause such successor to assume all obligations of Seller (accrued and prospective) hereunder via a writing reasonably satisfactory to Company.   Seller also may assign this PPA for collateral purposes to any Facility Lender, and may subcontract some or all of its duties under this PPA, upon notice to but without the consent of Company</w:t>
      </w:r>
    </w:p>
    <w:p w:rsidR="0079779A" w:rsidRDefault="003E5439" w14:paraId="0C01A45B" w14:textId="77777777">
      <w:pPr>
        <w:pStyle w:val="ArticleL3"/>
        <w:keepNext w:val="0"/>
      </w:pPr>
      <w:r>
        <w:t xml:space="preserve">Except as permitted in this </w:t>
      </w:r>
      <w:r>
        <w:rPr>
          <w:u w:val="single"/>
        </w:rPr>
        <w:t>Section 19.1</w:t>
      </w:r>
      <w:r>
        <w:t xml:space="preserve">, Seller may not assign this PPA or any portion hereof.  No assignment shall relieve Seller of its obligations under this PPA, nor impair any security posted by Seller unless such security is replaced in accordance with </w:t>
      </w:r>
      <w:r>
        <w:rPr>
          <w:u w:val="single"/>
        </w:rPr>
        <w:t>Article 11</w:t>
      </w:r>
      <w:r>
        <w:t>.  Before this PPA is assigned by Seller, the assignee must first obtain such approvals as may be required by all applicable Governmental Authorities.</w:t>
      </w:r>
    </w:p>
    <w:p w:rsidR="0079779A" w:rsidRDefault="003E5439" w14:paraId="360AFC68" w14:textId="77777777">
      <w:pPr>
        <w:pStyle w:val="ArticleL2"/>
        <w:keepNext w:val="0"/>
      </w:pPr>
      <w:bookmarkStart w:name="_Toc433954052" w:id="469"/>
      <w:bookmarkStart w:name="_Toc433954210" w:id="470"/>
      <w:r>
        <w:rPr>
          <w:u w:val="single"/>
        </w:rPr>
        <w:lastRenderedPageBreak/>
        <w:t>Assignment by Company</w:t>
      </w:r>
      <w:r>
        <w:fldChar w:fldCharType="begin"/>
      </w:r>
      <w:r>
        <w:instrText>tc "</w:instrText>
      </w:r>
      <w:bookmarkStart w:name="_Toc531859684" w:id="471"/>
      <w:bookmarkStart w:name="_Toc119238984" w:id="472"/>
      <w:r>
        <w:instrText>19.2</w:instrText>
      </w:r>
      <w:r>
        <w:tab/>
        <w:instrText>Assignment by Company</w:instrText>
      </w:r>
      <w:bookmarkEnd w:id="471"/>
      <w:bookmarkEnd w:id="472"/>
      <w:r>
        <w:instrText>” \f C \l 2</w:instrText>
      </w:r>
      <w:r>
        <w:fldChar w:fldCharType="end"/>
      </w:r>
      <w:r>
        <w:t>.</w:t>
      </w:r>
      <w:bookmarkEnd w:id="469"/>
      <w:bookmarkEnd w:id="470"/>
      <w:r>
        <w:t xml:space="preserve">  </w:t>
      </w:r>
    </w:p>
    <w:p w:rsidR="0079779A" w:rsidRDefault="003E5439" w14:paraId="5E81EC98" w14:textId="77777777">
      <w:pPr>
        <w:pStyle w:val="ArticleL3"/>
        <w:keepNext w:val="0"/>
      </w:pPr>
      <w:r>
        <w:t>Company may assign this PPA to any Affiliate, or to any successor that provides retail electric service in all or substantially all of Company’s service territory and is subject to rate and quality service regulation under the jurisdiction of the PUC.  Any other assignment of this PPA by Company shall require the prior written consent of Seller, not to be unreasonably withheld or delayed.</w:t>
      </w:r>
      <w:bookmarkEnd w:id="466"/>
    </w:p>
    <w:p w:rsidR="0079779A" w:rsidRDefault="003E5439" w14:paraId="395E7E67" w14:textId="77777777">
      <w:pPr>
        <w:pStyle w:val="ArticleL3"/>
        <w:keepNext w:val="0"/>
      </w:pPr>
      <w:r>
        <w:t xml:space="preserve">If an assignee of Company possesses a Credit Rating equal to or better than Investment Grade or Company’s Credit Rating as of the date of assignment (whichever is higher), Seller shall release Company from its obligations hereunder if </w:t>
      </w:r>
      <w:proofErr w:type="gramStart"/>
      <w:r>
        <w:t>so</w:t>
      </w:r>
      <w:proofErr w:type="gramEnd"/>
      <w:r>
        <w:t xml:space="preserve"> requested by Company.  Except for the foregoing, no assignment shall relieve Company of its obligations under this PPA.</w:t>
      </w:r>
    </w:p>
    <w:p w:rsidR="0079779A" w:rsidRDefault="003E5439" w14:paraId="79240091" w14:textId="77777777">
      <w:pPr>
        <w:pStyle w:val="ArticleL3"/>
        <w:keepNext w:val="0"/>
      </w:pPr>
      <w:r>
        <w:t xml:space="preserve">Any assignee of Company shall assume all obligations of Company (accrued and prospective) hereunder via a writing reasonably satisfactory to Seller.  Before this PPA is assigned by Company, the assignee must first obtain such approvals as may be required by all applicable Governmental Authorities. </w:t>
      </w:r>
    </w:p>
    <w:p w:rsidR="0079779A" w:rsidRDefault="003E5439" w14:paraId="7536C1FE" w14:textId="77777777">
      <w:pPr>
        <w:pStyle w:val="ArticleL2"/>
        <w:keepNext w:val="0"/>
      </w:pPr>
      <w:bookmarkStart w:name="_Toc433954053" w:id="473"/>
      <w:bookmarkStart w:name="_Toc433954211" w:id="474"/>
      <w:bookmarkStart w:name="_Toc433954054" w:id="475"/>
      <w:bookmarkStart w:name="_Toc433954212" w:id="476"/>
      <w:bookmarkStart w:name="_Toc288027312" w:id="477"/>
      <w:r>
        <w:rPr>
          <w:u w:val="single"/>
        </w:rPr>
        <w:t>Right of First Offer (“ROFO”)</w:t>
      </w:r>
      <w:r>
        <w:fldChar w:fldCharType="begin"/>
      </w:r>
      <w:r>
        <w:instrText>tc "</w:instrText>
      </w:r>
      <w:bookmarkStart w:name="_Toc445979352" w:id="478"/>
      <w:bookmarkStart w:name="_Toc531859685" w:id="479"/>
      <w:bookmarkStart w:name="_Toc119238985" w:id="480"/>
      <w:r>
        <w:instrText>19.3</w:instrText>
      </w:r>
      <w:r>
        <w:tab/>
        <w:instrText>Right of First Offer (ROFO</w:instrText>
      </w:r>
      <w:bookmarkEnd w:id="478"/>
      <w:bookmarkEnd w:id="479"/>
      <w:r>
        <w:instrText>)</w:instrText>
      </w:r>
      <w:bookmarkEnd w:id="480"/>
      <w:r>
        <w:instrText>” \f C \l 2</w:instrText>
      </w:r>
      <w:r>
        <w:fldChar w:fldCharType="end"/>
      </w:r>
      <w:r>
        <w:t>.</w:t>
      </w:r>
      <w:bookmarkEnd w:id="473"/>
      <w:bookmarkEnd w:id="474"/>
      <w:r>
        <w:t xml:space="preserve">  </w:t>
      </w:r>
    </w:p>
    <w:p w:rsidR="0079779A" w:rsidRDefault="003E5439" w14:paraId="50BD2F46" w14:textId="77777777">
      <w:pPr>
        <w:pStyle w:val="ArticleL3"/>
        <w:keepNext w:val="0"/>
      </w:pPr>
      <w:r>
        <w:t xml:space="preserve">At any time after the Commercial Operation Date, </w:t>
      </w:r>
    </w:p>
    <w:p w:rsidR="0079779A" w:rsidRDefault="003E5439" w14:paraId="04CB6FF8" w14:textId="77777777">
      <w:pPr>
        <w:pStyle w:val="ArticleL3"/>
        <w:keepNext w:val="0"/>
        <w:numPr>
          <w:ilvl w:val="0"/>
          <w:numId w:val="0"/>
        </w:numPr>
        <w:ind w:left="2340"/>
      </w:pPr>
      <w:r>
        <w:t xml:space="preserve">(1) </w:t>
      </w:r>
      <w:r>
        <w:tab/>
        <w:t xml:space="preserve">if Seller proposes to sell the Facility to an unaffiliated third party, Seller shall first offer to sell the Facility to Company via notice to Company, </w:t>
      </w:r>
    </w:p>
    <w:p w:rsidR="0079779A" w:rsidRDefault="003E5439" w14:paraId="0B9320EA" w14:textId="77777777">
      <w:pPr>
        <w:pStyle w:val="ArticleL3"/>
        <w:keepNext w:val="0"/>
        <w:numPr>
          <w:ilvl w:val="0"/>
          <w:numId w:val="0"/>
        </w:numPr>
        <w:ind w:left="2340"/>
      </w:pPr>
      <w:r>
        <w:t xml:space="preserve">(2) </w:t>
      </w:r>
      <w:r>
        <w:tab/>
        <w:t>if Seller’s parent proposes to sell a majority of any class of voting and/or non-voting equity interests in Seller (excluding interests owned by tax equity investors) to an unaffiliated third party, Seller shall cause its parent first to offer to sell such equity interests to Company via notice to Company, and</w:t>
      </w:r>
    </w:p>
    <w:p w:rsidR="0079779A" w:rsidRDefault="003E5439" w14:paraId="26625DBE" w14:textId="77777777">
      <w:pPr>
        <w:pStyle w:val="ArticleL3"/>
        <w:keepNext w:val="0"/>
        <w:numPr>
          <w:ilvl w:val="0"/>
          <w:numId w:val="0"/>
        </w:numPr>
        <w:ind w:left="2340"/>
      </w:pPr>
      <w:r>
        <w:t xml:space="preserve">(3) </w:t>
      </w:r>
      <w:r>
        <w:tab/>
        <w:t>if Seller’s parent owns no assets other than its equity interests in Seller and the parent of Seller’s parent proposes to sell a majority of any class of voting and/or non-voting equity interests in Seller’s parent (excluding interests owned by tax equity investors) to an unaffiliated third party, Seller shall cause its parent’s parent first to offer to sell such equity interests to Company via notice to Company</w:t>
      </w:r>
    </w:p>
    <w:p w:rsidR="0079779A" w:rsidRDefault="003E5439" w14:paraId="26B3065C" w14:textId="77777777">
      <w:pPr>
        <w:pStyle w:val="ArticleL3"/>
        <w:keepNext w:val="0"/>
        <w:numPr>
          <w:ilvl w:val="0"/>
          <w:numId w:val="0"/>
        </w:numPr>
      </w:pPr>
      <w:r>
        <w:t>(</w:t>
      </w:r>
      <w:proofErr w:type="gramStart"/>
      <w:r>
        <w:t>in</w:t>
      </w:r>
      <w:proofErr w:type="gramEnd"/>
      <w:r>
        <w:t xml:space="preserve"> each case, a “</w:t>
      </w:r>
      <w:r>
        <w:rPr>
          <w:u w:val="single"/>
        </w:rPr>
        <w:t>ROFO Notice</w:t>
      </w:r>
      <w:r>
        <w:t xml:space="preserve">”).   Any ROFO Notice shall describe the proposed transaction, including the minimum price, status of title to the Site, liabilities to be assumed and other terms which Seller or its relevant parent (as applicable) is willing to accept to proceed with the contemplated transaction.  The contents of a ROFO Notice shall be deemed Confidential Information for purposes of </w:t>
      </w:r>
      <w:r>
        <w:rPr>
          <w:u w:val="single"/>
        </w:rPr>
        <w:t>Section 20.18</w:t>
      </w:r>
      <w:r>
        <w:t xml:space="preserve"> below. </w:t>
      </w:r>
    </w:p>
    <w:p w:rsidR="0079779A" w:rsidRDefault="003E5439" w14:paraId="3D07C413" w14:textId="77777777">
      <w:pPr>
        <w:pStyle w:val="ArticleL3"/>
        <w:keepNext w:val="0"/>
      </w:pPr>
      <w:r>
        <w:t xml:space="preserve">Following issuance of a ROFO Notice, Seller shall allow Company 60 Days to investigate the proposed transaction and conduct due diligence. Due diligence shall include such physical inspections, surveys and operating tests of the Facility and the Site, such reviews of Seller’s contracts, books and records, and interviews of such </w:t>
      </w:r>
      <w:r>
        <w:lastRenderedPageBreak/>
        <w:t xml:space="preserve">personnel, as Company may reasonably request.  All information obtained by Company from such investigations shall be deemed Confidential Information subject to </w:t>
      </w:r>
      <w:r>
        <w:rPr>
          <w:u w:val="single"/>
        </w:rPr>
        <w:t>Section 20.18</w:t>
      </w:r>
      <w:r>
        <w:t xml:space="preserve"> below.  Within such 60-Day period, Company may elect to purchase the Facility or the relevant equity interests (as applicable) on substantially the same terms as set forth in the ROFO Notice.  If Company fails to notify Seller of Company’s election within such 60-Day period, Company shall be deemed to have rejected the transaction.</w:t>
      </w:r>
    </w:p>
    <w:p w:rsidR="0079779A" w:rsidRDefault="003E5439" w14:paraId="6DF9DFC5" w14:textId="77777777">
      <w:pPr>
        <w:pStyle w:val="ArticleL3"/>
        <w:keepNext w:val="0"/>
      </w:pPr>
      <w:r>
        <w:t xml:space="preserve">If Company elects to purchase the Facility or the specified equity interests (as applicable), the Parties shall negotiate and execute a PSA.  If Company elects to purchase the Facility the PSA shall include the price and other terms set forth in the ROFO Notice and such other terms as are set forth in </w:t>
      </w:r>
      <w:r>
        <w:rPr>
          <w:u w:val="single"/>
        </w:rPr>
        <w:t>Exhibit [__-2] - Facility PSA Provisions]</w:t>
      </w:r>
      <w:r>
        <w:t xml:space="preserve">.  If Company elects to purchase the specified equity interests, the PSA shall include the price and other terms set forth in the ROFO Notice and such other terms as are set forth in </w:t>
      </w:r>
      <w:r>
        <w:rPr>
          <w:u w:val="single"/>
        </w:rPr>
        <w:t>Exhibit [__]-3 – MIPSA Provisions</w:t>
      </w:r>
      <w:r>
        <w:t xml:space="preserve">.  If Company rejects the transaction described in a ROFO Notice, Seller shall have the right to sell the Facility (or Seller’s relevant parent shall have the right to sell the specified equity interests, as applicable) on terms not more favorable to Seller or its parent vs. the terms set forth in the ROFO Notice, at any time within the twelve-month period following issuance of the ROFO Notice.  If Seller or its relevant parent fails to close a transaction on such terms within such 12-month period, any sale of the Facility or equity interests in Seller shall again be subject to this </w:t>
      </w:r>
      <w:r>
        <w:rPr>
          <w:u w:val="single"/>
        </w:rPr>
        <w:t>Section 19.3</w:t>
      </w:r>
      <w:r>
        <w:t>.</w:t>
      </w:r>
      <w:r>
        <w:rPr>
          <w:rStyle w:val="FootnoteReference"/>
        </w:rPr>
        <w:footnoteReference w:id="3"/>
      </w:r>
    </w:p>
    <w:p w:rsidR="0079779A" w:rsidRDefault="003E5439" w14:paraId="260A84B9" w14:textId="77777777">
      <w:pPr>
        <w:pStyle w:val="ArticleL3"/>
        <w:keepNext w:val="0"/>
      </w:pPr>
      <w:r>
        <w:t xml:space="preserve">If Company rejects the transaction described in a ROFO Notice, Seller shall have the right to sell the Facility (or Seller’s relevant parent shall have the right to sell the specified equity interests, as applicable) on terms not more favorable to Seller or its parent vs. the terms set forth in the ROFO Notice, at any time within the twelve-month period following issuance of the ROFO Notice.  If Seller or its relevant parent fails to close a transaction on such terms within such twelve (12)-month period, any sale of the Facility or equity interests in Seller shall again be subject to this </w:t>
      </w:r>
      <w:r>
        <w:rPr>
          <w:u w:val="single"/>
        </w:rPr>
        <w:t>Section 19.3</w:t>
      </w:r>
      <w:r>
        <w:t>.</w:t>
      </w:r>
    </w:p>
    <w:p w:rsidR="0079779A" w:rsidRDefault="003E5439" w14:paraId="7C92864B" w14:textId="77777777">
      <w:pPr>
        <w:pStyle w:val="ArticleL3"/>
        <w:keepNext w:val="0"/>
      </w:pPr>
      <w:r>
        <w:t xml:space="preserve">This </w:t>
      </w:r>
      <w:r>
        <w:rPr>
          <w:u w:val="single"/>
        </w:rPr>
        <w:t>Section 19.3</w:t>
      </w:r>
      <w:r>
        <w:t xml:space="preserve"> shall be specifically enforceable by Company, without bond and without the need to prove irreparable harm. </w:t>
      </w:r>
    </w:p>
    <w:p w:rsidR="0079779A" w:rsidRDefault="003E5439" w14:paraId="1C36EA54" w14:textId="77777777">
      <w:pPr>
        <w:pStyle w:val="ArticleL3"/>
        <w:keepNext w:val="0"/>
      </w:pPr>
      <w:r>
        <w:t xml:space="preserve">Seller shall cooperate in all respects reasonably necessary for Company to exercise its ROFO </w:t>
      </w:r>
      <w:proofErr w:type="gramStart"/>
      <w:r>
        <w:t>rights, and</w:t>
      </w:r>
      <w:proofErr w:type="gramEnd"/>
      <w:r>
        <w:t xml:space="preserve"> shall operate the Facility in the ordinary course of business following the date of issuance of a ROFO Notice.</w:t>
      </w:r>
    </w:p>
    <w:p w:rsidR="0079779A" w:rsidRDefault="003E5439" w14:paraId="01C84E65" w14:textId="77777777">
      <w:pPr>
        <w:pStyle w:val="ArticleL2"/>
        <w:keepNext w:val="0"/>
      </w:pPr>
      <w:r>
        <w:rPr>
          <w:u w:val="single"/>
        </w:rPr>
        <w:t>PFT</w:t>
      </w:r>
      <w:r>
        <w:fldChar w:fldCharType="begin"/>
      </w:r>
      <w:r>
        <w:instrText>tc "</w:instrText>
      </w:r>
      <w:bookmarkStart w:name="_Toc531859686" w:id="481"/>
      <w:bookmarkStart w:name="_Toc119238986" w:id="482"/>
      <w:r>
        <w:instrText>19.4</w:instrText>
      </w:r>
      <w:r>
        <w:tab/>
        <w:instrText>PFT</w:instrText>
      </w:r>
      <w:bookmarkEnd w:id="481"/>
      <w:bookmarkEnd w:id="482"/>
      <w:r>
        <w:instrText>” \f C \l 2</w:instrText>
      </w:r>
      <w:r>
        <w:fldChar w:fldCharType="end"/>
      </w:r>
      <w:r>
        <w:t>.</w:t>
      </w:r>
      <w:bookmarkEnd w:id="475"/>
      <w:bookmarkEnd w:id="476"/>
      <w:r>
        <w:t xml:space="preserve">  </w:t>
      </w:r>
    </w:p>
    <w:p w:rsidR="0079779A" w:rsidRDefault="003E5439" w14:paraId="7C741CCE" w14:textId="77777777">
      <w:pPr>
        <w:pStyle w:val="ArticleL3"/>
        <w:keepNext w:val="0"/>
      </w:pPr>
      <w:r>
        <w:t>Seller shall give Company at least ninety (90) Days’ prior notice (a “</w:t>
      </w:r>
      <w:r>
        <w:rPr>
          <w:u w:val="single"/>
        </w:rPr>
        <w:t>PFT Notice</w:t>
      </w:r>
      <w:r>
        <w:t xml:space="preserve">”) of any Pending Facility Transaction that does not otherwise trigger Company’s ROFO rights under </w:t>
      </w:r>
      <w:r>
        <w:rPr>
          <w:u w:val="single"/>
        </w:rPr>
        <w:t>Section 19.3</w:t>
      </w:r>
      <w:r>
        <w:t xml:space="preserve">, in order to provide Company with an opportunity to discuss and negotiate with Seller the possible sale of the Facility to Company.  Any PFT Notice shall include a fair summary of Seller’s plans with respect to the Facility in connection with the proposed Pending Facility Transaction, to the extent </w:t>
      </w:r>
      <w:r>
        <w:lastRenderedPageBreak/>
        <w:t xml:space="preserve">then known by Seller.  The contents of a PFT Notice shall be deemed Confidential Information for purposes of </w:t>
      </w:r>
      <w:r>
        <w:rPr>
          <w:u w:val="single"/>
        </w:rPr>
        <w:t>Section 20.18</w:t>
      </w:r>
      <w:r>
        <w:t xml:space="preserve"> below.</w:t>
      </w:r>
    </w:p>
    <w:p w:rsidR="0079779A" w:rsidRDefault="003E5439" w14:paraId="0D81F9CF" w14:textId="77777777">
      <w:pPr>
        <w:pStyle w:val="ArticleL3"/>
        <w:keepNext w:val="0"/>
      </w:pPr>
      <w:r>
        <w:t xml:space="preserve">Seller shall have no obligation to </w:t>
      </w:r>
      <w:proofErr w:type="gramStart"/>
      <w:r>
        <w:t>sell</w:t>
      </w:r>
      <w:proofErr w:type="gramEnd"/>
      <w:r>
        <w:t xml:space="preserve"> nor shall Company have any obligation to purchase the Facility, following any PFT Notice.  Issuance of a PFT Notice shall not relieve Seller of its obligation to offer a ROFO to Company if and when applicable pursuant to </w:t>
      </w:r>
      <w:r>
        <w:rPr>
          <w:u w:val="single"/>
        </w:rPr>
        <w:t>Section 19.3</w:t>
      </w:r>
      <w:r>
        <w:t>.  In the event that the transaction giving rise to the PFT Notice has not been completed within twelve (12) months following a PFT Notice, Seller shall be required to resubmit a PFT Notice for such transaction.</w:t>
      </w:r>
      <w:bookmarkEnd w:id="477"/>
    </w:p>
    <w:p w:rsidR="0079779A" w:rsidRDefault="003E5439" w14:paraId="4E59450D" w14:textId="77777777">
      <w:pPr>
        <w:pStyle w:val="ArticleL3"/>
        <w:keepNext w:val="0"/>
      </w:pPr>
      <w:r>
        <w:t xml:space="preserve">Any breach of this </w:t>
      </w:r>
      <w:r>
        <w:rPr>
          <w:u w:val="single"/>
        </w:rPr>
        <w:t>Section 19.4</w:t>
      </w:r>
      <w:r>
        <w:t xml:space="preserve"> shall entitle Company to liquidated damages from Seller in the amount of [</w:t>
      </w:r>
      <w:r>
        <w:rPr>
          <w:i/>
          <w:highlight w:val="yellow"/>
        </w:rPr>
        <w:t>insert $[5]/kW x Battery Storage System Nameplate Capacity kW</w:t>
      </w:r>
      <w:r>
        <w:t xml:space="preserve">]. </w:t>
      </w:r>
    </w:p>
    <w:p w:rsidR="0079779A" w:rsidRDefault="003E5439" w14:paraId="51BAEF2B" w14:textId="77777777">
      <w:pPr>
        <w:pStyle w:val="ArticleL3"/>
        <w:keepNext w:val="0"/>
      </w:pPr>
      <w:r>
        <w:t>For purposes hereof, a “</w:t>
      </w:r>
      <w:r>
        <w:rPr>
          <w:u w:val="single"/>
        </w:rPr>
        <w:t>Pending Facility Transaction</w:t>
      </w:r>
      <w:r>
        <w:t>” or “</w:t>
      </w:r>
      <w:r>
        <w:rPr>
          <w:u w:val="single"/>
        </w:rPr>
        <w:t>PFT</w:t>
      </w:r>
      <w:r>
        <w:t>” means:</w:t>
      </w:r>
    </w:p>
    <w:p w:rsidR="0079779A" w:rsidRDefault="003E5439" w14:paraId="0B763099" w14:textId="77777777">
      <w:pPr>
        <w:pStyle w:val="ArticleL4"/>
        <w:keepNext w:val="0"/>
      </w:pPr>
      <w:r>
        <w:t xml:space="preserve">any Change of Control of </w:t>
      </w:r>
      <w:proofErr w:type="gramStart"/>
      <w:r>
        <w:t>Seller;</w:t>
      </w:r>
      <w:proofErr w:type="gramEnd"/>
    </w:p>
    <w:p w:rsidR="0079779A" w:rsidRDefault="003E5439" w14:paraId="5033073E" w14:textId="77777777">
      <w:pPr>
        <w:pStyle w:val="ArticleL4"/>
        <w:keepNext w:val="0"/>
      </w:pPr>
      <w:r>
        <w:t xml:space="preserve">the issuance by Seller or any of its Affiliates of a request for proposals or the response by Seller or any of its Affiliates to a request for proposal or similar process (e.g., auction) for the purchase or sale to any unaffiliated third party of any equity interests in Seller or the Facility, or any group(s) of assets or equity interests that includes the </w:t>
      </w:r>
      <w:proofErr w:type="gramStart"/>
      <w:r>
        <w:t>Facility;</w:t>
      </w:r>
      <w:proofErr w:type="gramEnd"/>
    </w:p>
    <w:p w:rsidR="0079779A" w:rsidRDefault="003E5439" w14:paraId="50A9AF10" w14:textId="77777777">
      <w:pPr>
        <w:pStyle w:val="ArticleL4"/>
        <w:keepNext w:val="0"/>
      </w:pPr>
      <w:r>
        <w:t xml:space="preserve">the transmission by Seller or any of its Affiliates of a draft letter of intent, memorandum of understanding, term sheet or similar document (or a revised version thereof) to an unaffiliated third party with respect to the sale of any equity interests in Seller or the Facility, or any group(s) of assets or equity interests that includes the </w:t>
      </w:r>
      <w:proofErr w:type="gramStart"/>
      <w:r>
        <w:t>Facility;  or</w:t>
      </w:r>
      <w:proofErr w:type="gramEnd"/>
    </w:p>
    <w:p w:rsidR="0079779A" w:rsidRDefault="003E5439" w14:paraId="18ADD4FA" w14:textId="77777777">
      <w:pPr>
        <w:pStyle w:val="ArticleL4"/>
        <w:keepNext w:val="0"/>
      </w:pPr>
      <w:r>
        <w:t xml:space="preserve">the execution by Seller or any of its Affiliates of any letter of intent, memorandum of understanding, term sheet or similar document, whether or not legally binding, which contemplates the sale or lease to an unaffiliated third party of any equity interests in Seller or the Facility or any group(s) of assets or equity interests that includes the Facility; </w:t>
      </w:r>
      <w:r>
        <w:rPr>
          <w:i/>
        </w:rPr>
        <w:t xml:space="preserve">provided, however, </w:t>
      </w:r>
      <w:r>
        <w:t xml:space="preserve">that a PFT does not include (i) any financing or refinancing of the Facility Debt, (ii) any transaction among Affiliates of Seller, and/or (iii) any transaction for which Seller offers ROFO rights to Company under </w:t>
      </w:r>
      <w:r>
        <w:rPr>
          <w:u w:val="single"/>
        </w:rPr>
        <w:t>Section 19.3</w:t>
      </w:r>
      <w:r>
        <w:t xml:space="preserve">. </w:t>
      </w:r>
    </w:p>
    <w:p w:rsidR="0079779A" w:rsidRDefault="003E5439" w14:paraId="5FD03E54" w14:textId="77777777">
      <w:pPr>
        <w:pStyle w:val="ArticleL2"/>
        <w:keepNext w:val="0"/>
      </w:pPr>
      <w:bookmarkStart w:name="_Toc433954055" w:id="483"/>
      <w:bookmarkStart w:name="_Toc433954213" w:id="484"/>
      <w:bookmarkStart w:name="_Toc288027313" w:id="485"/>
      <w:r>
        <w:rPr>
          <w:u w:val="single"/>
        </w:rPr>
        <w:t>Memo of Option</w:t>
      </w:r>
      <w:r>
        <w:rPr>
          <w:color w:val="000000"/>
        </w:rPr>
        <w:fldChar w:fldCharType="begin"/>
      </w:r>
      <w:r>
        <w:rPr>
          <w:color w:val="000000"/>
        </w:rPr>
        <w:instrText>tc "</w:instrText>
      </w:r>
      <w:bookmarkStart w:name="_Toc531859688" w:id="486"/>
      <w:bookmarkStart w:name="_Toc119238987" w:id="487"/>
      <w:r>
        <w:rPr>
          <w:color w:val="000000"/>
        </w:rPr>
        <w:instrText>19.5</w:instrText>
      </w:r>
      <w:r>
        <w:rPr>
          <w:color w:val="000000"/>
        </w:rPr>
        <w:tab/>
        <w:instrText>Memo of Option</w:instrText>
      </w:r>
      <w:bookmarkEnd w:id="486"/>
      <w:bookmarkEnd w:id="487"/>
      <w:r>
        <w:rPr>
          <w:color w:val="000000"/>
        </w:rPr>
        <w:instrText>” \f C \l 2</w:instrText>
      </w:r>
      <w:r>
        <w:rPr>
          <w:color w:val="000000"/>
        </w:rPr>
        <w:fldChar w:fldCharType="end"/>
      </w:r>
      <w:r>
        <w:t xml:space="preserve">.   </w:t>
      </w:r>
      <w:bookmarkEnd w:id="483"/>
      <w:bookmarkEnd w:id="484"/>
      <w:r>
        <w:t xml:space="preserve">Within thirty (30) Days following PUC Approval, the Parties shall execute and record a Memorandum of Option, in form reasonably specified by Company memorializing its ROFO rights under </w:t>
      </w:r>
      <w:r>
        <w:rPr>
          <w:u w:val="single"/>
        </w:rPr>
        <w:t>Section 19.3</w:t>
      </w:r>
      <w:r>
        <w:t xml:space="preserve">.  </w:t>
      </w:r>
    </w:p>
    <w:p w:rsidR="0079779A" w:rsidRDefault="003E5439" w14:paraId="52F40F9B" w14:textId="77777777">
      <w:pPr>
        <w:pStyle w:val="ArticleL1"/>
        <w:keepNext w:val="0"/>
      </w:pPr>
      <w:bookmarkStart w:name="_Toc288027314" w:id="488"/>
      <w:bookmarkStart w:name="_Toc433954056" w:id="489"/>
      <w:bookmarkStart w:name="_Toc433954214" w:id="490"/>
      <w:bookmarkEnd w:id="485"/>
      <w:r>
        <w:t>Miscellaneous</w:t>
      </w:r>
      <w:bookmarkEnd w:id="488"/>
      <w:bookmarkEnd w:id="489"/>
      <w:bookmarkEnd w:id="490"/>
      <w:r>
        <w:fldChar w:fldCharType="begin"/>
      </w:r>
      <w:r>
        <w:instrText>tc "</w:instrText>
      </w:r>
      <w:bookmarkStart w:name="_Toc531859689" w:id="491"/>
      <w:bookmarkStart w:name="_Toc119238988" w:id="492"/>
      <w:r>
        <w:instrText>Article 20 - Miscellaneous</w:instrText>
      </w:r>
      <w:bookmarkEnd w:id="491"/>
      <w:bookmarkEnd w:id="492"/>
      <w:r>
        <w:instrText>” \f C \l 1</w:instrText>
      </w:r>
      <w:r>
        <w:fldChar w:fldCharType="end"/>
      </w:r>
      <w:r>
        <w:fldChar w:fldCharType="begin"/>
      </w:r>
      <w:r>
        <w:instrText xml:space="preserve"> TC </w:instrText>
      </w:r>
      <w:r>
        <w:fldChar w:fldCharType="end"/>
      </w:r>
    </w:p>
    <w:p w:rsidR="0079779A" w:rsidRDefault="003E5439" w14:paraId="78078725" w14:textId="77777777">
      <w:pPr>
        <w:pStyle w:val="ArticleL2"/>
        <w:keepNext w:val="0"/>
      </w:pPr>
      <w:bookmarkStart w:name="_Toc288027315" w:id="493"/>
      <w:bookmarkStart w:name="_Toc433954057" w:id="494"/>
      <w:bookmarkStart w:name="_Toc433954215" w:id="495"/>
      <w:r>
        <w:rPr>
          <w:u w:val="single"/>
        </w:rPr>
        <w:t>Notices</w:t>
      </w:r>
      <w:r>
        <w:fldChar w:fldCharType="begin"/>
      </w:r>
      <w:r>
        <w:instrText>tc "</w:instrText>
      </w:r>
      <w:bookmarkStart w:name="_Toc531859690" w:id="496"/>
      <w:bookmarkStart w:name="_Toc119238989" w:id="497"/>
      <w:r>
        <w:instrText>20.1</w:instrText>
      </w:r>
      <w:r>
        <w:tab/>
        <w:instrText>Notices</w:instrText>
      </w:r>
      <w:bookmarkEnd w:id="496"/>
      <w:bookmarkEnd w:id="497"/>
      <w:r>
        <w:instrText>” \f C \l 2</w:instrText>
      </w:r>
      <w:r>
        <w:fldChar w:fldCharType="end"/>
      </w:r>
      <w:r>
        <w:t xml:space="preserve">.  </w:t>
      </w:r>
    </w:p>
    <w:p w:rsidR="0079779A" w:rsidRDefault="003E5439" w14:paraId="53D88E7A" w14:textId="77777777">
      <w:pPr>
        <w:pStyle w:val="ArticleL3"/>
        <w:keepNext w:val="0"/>
      </w:pPr>
      <w:r>
        <w:t xml:space="preserve">Notices required by this PPA shall be addressed to the other Party at the addresses noted in </w:t>
      </w:r>
      <w:r>
        <w:rPr>
          <w:u w:val="single"/>
        </w:rPr>
        <w:t>Exhibit D - Notices</w:t>
      </w:r>
      <w:r>
        <w:t xml:space="preserve">, as either Party updates such addresses from time to time by notice to the other Party.  A Notice shall be deemed to have been received as follows: (1) if it is delivered by email, when the recipient, by an email sent to the email address for the sender stated in </w:t>
      </w:r>
      <w:r>
        <w:rPr>
          <w:u w:val="single"/>
        </w:rPr>
        <w:t xml:space="preserve">Exhibit D – Notices </w:t>
      </w:r>
      <w:r>
        <w:t xml:space="preserve">or by a notice delivered by another </w:t>
      </w:r>
      <w:r>
        <w:lastRenderedPageBreak/>
        <w:t xml:space="preserve">method in accordance with this </w:t>
      </w:r>
      <w:r>
        <w:rPr>
          <w:u w:val="single"/>
        </w:rPr>
        <w:t>Section 20.1(A)</w:t>
      </w:r>
      <w:r>
        <w:t xml:space="preserve">, acknowledges having received that email, with an automatic “read receipt” not constituting acknowledgment of an email for purposes of this </w:t>
      </w:r>
      <w:r>
        <w:rPr>
          <w:u w:val="single"/>
        </w:rPr>
        <w:t>Section 20.1(A)</w:t>
      </w:r>
      <w:r>
        <w:t xml:space="preserve">; and, (2) If it is delivered in writing. when receipt is acknowledged in writing by the counterparty (or absent such acknowledgement, when delivered via third-party messenger or via FedEx or other reputable overnight courier service).  Any notice shall be deemed to have been received by the close of the Business Day on which it was delivered.  Real-time or routine communications concerning Facility operations shall be exempt from this </w:t>
      </w:r>
      <w:r>
        <w:rPr>
          <w:u w:val="single"/>
        </w:rPr>
        <w:t>Section 20.1(A</w:t>
      </w:r>
      <w:proofErr w:type="gramStart"/>
      <w:r>
        <w:rPr>
          <w:u w:val="single"/>
        </w:rPr>
        <w:t>)</w:t>
      </w:r>
      <w:r>
        <w:t>.The</w:t>
      </w:r>
      <w:proofErr w:type="gramEnd"/>
      <w:r>
        <w:t xml:space="preserve"> Parties recognize the need for accurate communications between them.  Each Party consents to the recording of telephone conversations between their employees and representatives, related to the performance and administration of this PPA.</w:t>
      </w:r>
    </w:p>
    <w:p w:rsidR="0079779A" w:rsidRDefault="003E5439" w14:paraId="35DEB7DC" w14:textId="77777777">
      <w:pPr>
        <w:pStyle w:val="ArticleL3"/>
        <w:keepNext w:val="0"/>
      </w:pPr>
      <w:r>
        <w:t>The Parties recognize the need for accurate communications between them.  Each Party consents to the recording of telephone conversations between their employees and representatives, related to the performance and administration of this PPA.</w:t>
      </w:r>
      <w:bookmarkEnd w:id="493"/>
      <w:bookmarkEnd w:id="494"/>
      <w:bookmarkEnd w:id="495"/>
    </w:p>
    <w:p w:rsidR="0079779A" w:rsidRDefault="003E5439" w14:paraId="3C404F16" w14:textId="77777777">
      <w:pPr>
        <w:pStyle w:val="ArticleL2"/>
        <w:keepNext w:val="0"/>
      </w:pPr>
      <w:bookmarkStart w:name="_Toc288027316" w:id="498"/>
      <w:bookmarkStart w:name="_Toc433954058" w:id="499"/>
      <w:bookmarkStart w:name="_Toc433954216" w:id="500"/>
      <w:r>
        <w:rPr>
          <w:u w:val="single"/>
        </w:rPr>
        <w:t>Taxes and Tax Incentives</w:t>
      </w:r>
      <w:r>
        <w:fldChar w:fldCharType="begin"/>
      </w:r>
      <w:r>
        <w:instrText>tc "</w:instrText>
      </w:r>
      <w:bookmarkStart w:name="_Toc531859691" w:id="501"/>
      <w:bookmarkStart w:name="_Toc119238990" w:id="502"/>
      <w:r>
        <w:instrText>20.2</w:instrText>
      </w:r>
      <w:r>
        <w:tab/>
        <w:instrText>Taxes and Tax Incentives</w:instrText>
      </w:r>
      <w:bookmarkEnd w:id="501"/>
      <w:bookmarkEnd w:id="502"/>
      <w:r>
        <w:instrText>” \f C \l 2</w:instrText>
      </w:r>
      <w:r>
        <w:fldChar w:fldCharType="end"/>
      </w:r>
      <w:r>
        <w:t>.</w:t>
      </w:r>
      <w:bookmarkEnd w:id="498"/>
      <w:bookmarkEnd w:id="499"/>
      <w:bookmarkEnd w:id="500"/>
    </w:p>
    <w:p w:rsidR="0079779A" w:rsidRDefault="003E5439" w14:paraId="0A26C282" w14:textId="77777777">
      <w:pPr>
        <w:pStyle w:val="ArticleL3"/>
        <w:keepNext w:val="0"/>
      </w:pPr>
      <w:r>
        <w:t xml:space="preserve">Company shall purchase all Energy on a wholesale basis, for resale to Company’s wholesale and retail customers.  Company shall obtain and provide Seller with any certificates required by any Governmental Authority or otherwise reasonably requested by Seller to evidence that the deliveries of Energy hereunder are sales for resale.  </w:t>
      </w:r>
    </w:p>
    <w:p w:rsidR="0079779A" w:rsidRDefault="003E5439" w14:paraId="0C009B98" w14:textId="77777777">
      <w:pPr>
        <w:pStyle w:val="ArticleL3"/>
        <w:keepNext w:val="0"/>
        <w:suppressAutoHyphens/>
        <w:spacing w:after="240"/>
      </w:pPr>
      <w:r>
        <w:t>Company shall be solely responsible for sales, use and value-added taxes imposed with respect to the purchase of fuel by Company for consumption by the Facility to produce the Energy dispatched and received by Company hereunder.</w:t>
      </w:r>
    </w:p>
    <w:p w:rsidR="0079779A" w:rsidRDefault="003E5439" w14:paraId="0E5DC9B3" w14:textId="77777777">
      <w:pPr>
        <w:pStyle w:val="ArticleL3"/>
        <w:keepNext w:val="0"/>
      </w:pPr>
      <w:r>
        <w:t xml:space="preserve">As between the Parties, Company shall be solely responsible for the payment of (1) any sales, use or equivalent taxes imposed by Governmental Authorities, whether now in existence or hereafter enacted, on the purchase of the products and services provided hereunder, and (2) any taxes imposed by Governmental Authorities, whether now in existence or hereafter enacted, on the transmission of the products and services provided hereunder beyond the Point of Delivery. </w:t>
      </w:r>
    </w:p>
    <w:p w:rsidR="0079779A" w:rsidRDefault="003E5439" w14:paraId="3F0F8356" w14:textId="77777777">
      <w:pPr>
        <w:pStyle w:val="ArticleL3"/>
        <w:keepNext w:val="0"/>
      </w:pPr>
      <w:r>
        <w:t xml:space="preserve">Subject to </w:t>
      </w:r>
      <w:r>
        <w:rPr>
          <w:u w:val="single"/>
        </w:rPr>
        <w:t>Section 20.2(B)</w:t>
      </w:r>
      <w:r>
        <w:t xml:space="preserve"> and (C) above and </w:t>
      </w:r>
      <w:r>
        <w:rPr>
          <w:u w:val="single"/>
        </w:rPr>
        <w:t>Section 20.19</w:t>
      </w:r>
      <w:r>
        <w:t xml:space="preserve"> below, Seller shall be solely responsible for any and all present and future taxes and other impositions of Governmental Authorities relating to the construction, ownership or leasing, operation or maintenance of the Facility and the Site (including </w:t>
      </w:r>
      <w:r>
        <w:rPr>
          <w:i/>
          <w:iCs/>
        </w:rPr>
        <w:t>ad valorem</w:t>
      </w:r>
      <w:r>
        <w:t xml:space="preserve"> taxes on the Facility and the Site), and any taxes imposed at or prior to the Point of Delivery with respect to the products and services to be sold and delivered to Company hereunder, whether calculated based upon cost, value, labor, capital, production, savings, green attributes or other parameters.  Seller’s prices under </w:t>
      </w:r>
      <w:r>
        <w:rPr>
          <w:u w:val="single"/>
        </w:rPr>
        <w:t>Article 8</w:t>
      </w:r>
      <w:r>
        <w:t xml:space="preserve"> are inclusive of such taxes and impositions during the Term, and Seller assumes the risk of changes in such taxes after the Effective Date.  </w:t>
      </w:r>
    </w:p>
    <w:p w:rsidR="0079779A" w:rsidRDefault="003E5439" w14:paraId="512E53A2" w14:textId="77777777">
      <w:pPr>
        <w:pStyle w:val="ArticleL3"/>
        <w:keepNext w:val="0"/>
      </w:pPr>
      <w:r>
        <w:lastRenderedPageBreak/>
        <w:t xml:space="preserve">The Parties shall cooperate to minimize tax exposure, </w:t>
      </w:r>
      <w:r>
        <w:rPr>
          <w:i/>
        </w:rPr>
        <w:t xml:space="preserve">provided, however, </w:t>
      </w:r>
      <w:r>
        <w:t xml:space="preserve">that neither Party shall be obligated to incur any financial burden to reduce taxes for which the other Party is responsible hereunder. </w:t>
      </w:r>
    </w:p>
    <w:p w:rsidR="0079779A" w:rsidRDefault="003E5439" w14:paraId="794B3C13" w14:textId="77777777">
      <w:pPr>
        <w:pStyle w:val="ArticleL3"/>
        <w:keepNext w:val="0"/>
      </w:pPr>
      <w:r>
        <w:t>If at any time after the Effective Date and during the Term, any person or entity, including Seller, Facility Lender, Seller’s upstream parent, or any Affiliate, realizes any economic or monetary benefit from Tax Credit Legislation with respect to the Facility (“</w:t>
      </w:r>
      <w:r>
        <w:rPr>
          <w:u w:val="single"/>
        </w:rPr>
        <w:t>Economic Benefit</w:t>
      </w:r>
      <w:r>
        <w:t xml:space="preserve">”), then Company shall be entitled to receive fifty percent (50%) of such Economic Benefit realized by Seller, Facility Lender, Seller’s upstream parent, or any Affiliate, promptly upon receipt of such Economic Benefit. </w:t>
      </w:r>
    </w:p>
    <w:p w:rsidR="0079779A" w:rsidRDefault="003E5439" w14:paraId="564C9704" w14:textId="77777777">
      <w:pPr>
        <w:pStyle w:val="ArticleL2"/>
        <w:keepNext w:val="0"/>
      </w:pPr>
      <w:bookmarkStart w:name="_Toc433954059" w:id="503"/>
      <w:bookmarkStart w:name="_Toc433954217" w:id="504"/>
      <w:bookmarkStart w:name="_Toc288027317" w:id="505"/>
      <w:r>
        <w:rPr>
          <w:u w:val="single"/>
        </w:rPr>
        <w:t>Applicable Laws</w:t>
      </w:r>
      <w:r>
        <w:rPr>
          <w:color w:val="000000"/>
        </w:rPr>
        <w:fldChar w:fldCharType="begin"/>
      </w:r>
      <w:r>
        <w:rPr>
          <w:color w:val="000000"/>
        </w:rPr>
        <w:instrText>tc "</w:instrText>
      </w:r>
      <w:bookmarkStart w:name="_Toc531859692" w:id="506"/>
      <w:bookmarkStart w:name="_Toc119238991" w:id="507"/>
      <w:r>
        <w:rPr>
          <w:color w:val="000000"/>
        </w:rPr>
        <w:instrText>20.3</w:instrText>
      </w:r>
      <w:r>
        <w:rPr>
          <w:color w:val="000000"/>
        </w:rPr>
        <w:tab/>
        <w:instrText>Applicable Laws</w:instrText>
      </w:r>
      <w:bookmarkEnd w:id="506"/>
      <w:bookmarkEnd w:id="507"/>
      <w:r>
        <w:rPr>
          <w:color w:val="000000"/>
        </w:rPr>
        <w:instrText>” \f C \l 2</w:instrText>
      </w:r>
      <w:r>
        <w:rPr>
          <w:color w:val="000000"/>
        </w:rPr>
        <w:fldChar w:fldCharType="end"/>
      </w:r>
      <w:r>
        <w:t>.  Each Party shall comply with all Applicable Laws (including the Transmission Authority Tariff) in connection with its performance of this PPA, at its own expense, except for any non-compliance that (individually or in the aggregate) could not reasonably be expected to have a Material Adverse Effect on the other Party or on such Party’s ability to perform this PPA.</w:t>
      </w:r>
      <w:bookmarkEnd w:id="503"/>
      <w:bookmarkEnd w:id="504"/>
      <w:r>
        <w:t xml:space="preserve">  </w:t>
      </w:r>
      <w:bookmarkEnd w:id="505"/>
    </w:p>
    <w:p w:rsidR="0079779A" w:rsidRDefault="003E5439" w14:paraId="534A66DE" w14:textId="77777777">
      <w:pPr>
        <w:pStyle w:val="ArticleL3"/>
        <w:keepNext w:val="0"/>
      </w:pPr>
      <w:r>
        <w:t xml:space="preserve">As applicable, each Party shall give all required notices, shall </w:t>
      </w:r>
      <w:proofErr w:type="gramStart"/>
      <w:r>
        <w:t>procure</w:t>
      </w:r>
      <w:proofErr w:type="gramEnd"/>
      <w:r>
        <w:t xml:space="preserve"> and maintain all Permits necessary for performance of this PPA, and shall pay its respective charges and fees in connection therewith.</w:t>
      </w:r>
    </w:p>
    <w:p w:rsidR="0079779A" w:rsidRDefault="003E5439" w14:paraId="68593A7F" w14:textId="77777777">
      <w:pPr>
        <w:pStyle w:val="ArticleL3"/>
        <w:keepNext w:val="0"/>
      </w:pPr>
      <w:r>
        <w:t>Each Party shall promptly disclose to the other Party, any violation of any Applicable Laws arising out of performance of this PPA.</w:t>
      </w:r>
    </w:p>
    <w:p w:rsidR="0079779A" w:rsidRDefault="003E5439" w14:paraId="422610E6" w14:textId="77777777">
      <w:pPr>
        <w:pStyle w:val="ArticleL3"/>
        <w:keepNext w:val="0"/>
      </w:pPr>
      <w:r>
        <w:t>Upon permanent cessation of energy storage by the Facility, Seller shall decommission and remove the Facility and remediate the Site as, if and when required by Applicable Laws.</w:t>
      </w:r>
    </w:p>
    <w:p w:rsidR="0079779A" w:rsidRDefault="003E5439" w14:paraId="49631D92" w14:textId="77777777">
      <w:pPr>
        <w:pStyle w:val="ArticleL3"/>
        <w:keepNext w:val="0"/>
      </w:pPr>
      <w:bookmarkStart w:name="_Toc288027322" w:id="508"/>
      <w:bookmarkStart w:name="_Toc288027318" w:id="509"/>
      <w:r>
        <w:t>Seller acknowledges that as a government contractor Company is subject to Applicable Laws regarding equal employment opportunity and affirmative action, including 41 C.F.R. § 60</w:t>
      </w:r>
      <w:r>
        <w:noBreakHyphen/>
        <w:t>1.4(a</w:t>
      </w:r>
      <w:proofErr w:type="gramStart"/>
      <w:r>
        <w:t>)(</w:t>
      </w:r>
      <w:proofErr w:type="gramEnd"/>
      <w:r>
        <w:t>1-7).  Such Applicable Laws may also be applicable to Seller as a subcontractor to Company.  All such Applicable Laws shall be deemed to be incorporated herein as required by Applicable Law.</w:t>
      </w:r>
      <w:bookmarkEnd w:id="508"/>
    </w:p>
    <w:p w:rsidR="0079779A" w:rsidRDefault="003E5439" w14:paraId="7A7257F5" w14:textId="77777777">
      <w:pPr>
        <w:pStyle w:val="ArticleL3"/>
        <w:keepNext w:val="0"/>
      </w:pPr>
      <w:r>
        <w:t xml:space="preserve">Each Party assumes the risk of changes in Applicable Laws following the date hereof, that affect such Party’s costs of ownership and operation of its assets, and its performance of this PPA, except as otherwise specifically set forth herein. </w:t>
      </w:r>
    </w:p>
    <w:p w:rsidR="0079779A" w:rsidRDefault="003E5439" w14:paraId="0FA53DC1" w14:textId="77777777">
      <w:pPr>
        <w:pStyle w:val="ArticleL2"/>
        <w:keepNext w:val="0"/>
      </w:pPr>
      <w:bookmarkStart w:name="_Toc433954060" w:id="510"/>
      <w:bookmarkStart w:name="_Toc433954218" w:id="511"/>
      <w:r>
        <w:rPr>
          <w:u w:val="single"/>
        </w:rPr>
        <w:t>Fines and Penalties</w:t>
      </w:r>
      <w:r>
        <w:rPr>
          <w:color w:val="000000"/>
        </w:rPr>
        <w:fldChar w:fldCharType="begin"/>
      </w:r>
      <w:r>
        <w:rPr>
          <w:color w:val="000000"/>
        </w:rPr>
        <w:instrText>tc "</w:instrText>
      </w:r>
      <w:bookmarkStart w:name="_Toc531859693" w:id="512"/>
      <w:bookmarkStart w:name="_Toc119238992" w:id="513"/>
      <w:r>
        <w:rPr>
          <w:color w:val="000000"/>
        </w:rPr>
        <w:instrText>20.4</w:instrText>
      </w:r>
      <w:r>
        <w:rPr>
          <w:color w:val="000000"/>
        </w:rPr>
        <w:tab/>
        <w:instrText>Fines and Penalties</w:instrText>
      </w:r>
      <w:bookmarkEnd w:id="512"/>
      <w:bookmarkEnd w:id="513"/>
      <w:r>
        <w:rPr>
          <w:color w:val="000000"/>
        </w:rPr>
        <w:instrText>” \f C \l 2</w:instrText>
      </w:r>
      <w:r>
        <w:rPr>
          <w:color w:val="000000"/>
        </w:rPr>
        <w:fldChar w:fldCharType="end"/>
      </w:r>
      <w:r>
        <w:t>.</w:t>
      </w:r>
      <w:bookmarkEnd w:id="509"/>
      <w:bookmarkEnd w:id="510"/>
      <w:bookmarkEnd w:id="511"/>
      <w:r>
        <w:t xml:space="preserve">  Seller shall pay when due all fees, fines, penalties and costs incurred by Company, Seller and/or their agents, employees or contractors arising from noncompliance by Seller, its employees, or subcontractors with any provision of this PPA, or any contractual obligation, Permit or requirements of Applicable Law, except for such fines, penalties and costs that are being actively contested in good faith and with due diligence by Seller and for which adequate financial reserves have been set aside to pay such fines, penalties or costs in the event of an adverse determination</w:t>
      </w:r>
    </w:p>
    <w:p w:rsidR="0079779A" w:rsidRDefault="003E5439" w14:paraId="513ED061" w14:textId="77777777">
      <w:pPr>
        <w:pStyle w:val="ArticleL2"/>
        <w:keepNext w:val="0"/>
      </w:pPr>
      <w:bookmarkStart w:name="_Toc288027319" w:id="514"/>
      <w:bookmarkStart w:name="_Toc433954061" w:id="515"/>
      <w:bookmarkStart w:name="_Toc433954219" w:id="516"/>
      <w:r>
        <w:rPr>
          <w:u w:val="single"/>
        </w:rPr>
        <w:t>Rate Changes</w:t>
      </w:r>
      <w:r>
        <w:fldChar w:fldCharType="begin"/>
      </w:r>
      <w:r>
        <w:instrText>tc "</w:instrText>
      </w:r>
      <w:bookmarkStart w:name="_Toc531859694" w:id="517"/>
      <w:bookmarkStart w:name="_Toc119238993" w:id="518"/>
      <w:r>
        <w:instrText>20.5</w:instrText>
      </w:r>
      <w:r>
        <w:tab/>
        <w:instrText>Rate Changes</w:instrText>
      </w:r>
      <w:bookmarkEnd w:id="517"/>
      <w:bookmarkEnd w:id="518"/>
      <w:r>
        <w:instrText>” \f C \l 2</w:instrText>
      </w:r>
      <w:r>
        <w:fldChar w:fldCharType="end"/>
      </w:r>
      <w:r>
        <w:t>.</w:t>
      </w:r>
      <w:bookmarkEnd w:id="514"/>
      <w:bookmarkEnd w:id="515"/>
      <w:bookmarkEnd w:id="516"/>
    </w:p>
    <w:p w:rsidR="0079779A" w:rsidRDefault="003E5439" w14:paraId="71CD0D13" w14:textId="77777777">
      <w:pPr>
        <w:pStyle w:val="ArticleL3"/>
        <w:keepNext w:val="0"/>
      </w:pPr>
      <w:r>
        <w:t xml:space="preserve">The terms and conditions and the rates for service specified in this PPA shall remain in effect for the Term hereof.  Neither Party shall seek (nor support any </w:t>
      </w:r>
      <w:r>
        <w:lastRenderedPageBreak/>
        <w:t>third party seeking) any prospective or retroactive change to the rates or terms of service under this PPA pursuant to Section 205, 206 or 306 of the Federal Power Act.</w:t>
      </w:r>
    </w:p>
    <w:p w:rsidR="0079779A" w:rsidRDefault="003E5439" w14:paraId="627B8B0F" w14:textId="77777777">
      <w:pPr>
        <w:pStyle w:val="ArticleL3"/>
        <w:keepNext w:val="0"/>
        <w:rPr>
          <w:color w:val="000000"/>
        </w:rPr>
      </w:pPr>
      <w:r>
        <w:t xml:space="preserve">The standard of review for changes to this PPA whether proposed by a Party, a non-party, or FERC acting </w:t>
      </w:r>
      <w:proofErr w:type="spellStart"/>
      <w:r>
        <w:rPr>
          <w:i/>
        </w:rPr>
        <w:t>sua</w:t>
      </w:r>
      <w:proofErr w:type="spellEnd"/>
      <w:r>
        <w:rPr>
          <w:i/>
        </w:rPr>
        <w:t xml:space="preserve"> sponte</w:t>
      </w:r>
      <w:r>
        <w:t xml:space="preserve"> shall be the “public interest” standard of review set forth in </w:t>
      </w:r>
      <w:r>
        <w:rPr>
          <w:i/>
        </w:rPr>
        <w:t>United Gas Pipe Line v. Mobile Gas Service Corp</w:t>
      </w:r>
      <w:r>
        <w:t xml:space="preserve">., 350 U.S. 332 (1956) and </w:t>
      </w:r>
      <w:r>
        <w:rPr>
          <w:i/>
        </w:rPr>
        <w:t>Federal Power Commission v. Sierra Pacific Power Co</w:t>
      </w:r>
      <w:r>
        <w:t xml:space="preserve">., 350 U.S. 348 (1956) (aka the “Mobile-Sierra doctrine”), as interpreted in </w:t>
      </w:r>
      <w:r>
        <w:rPr>
          <w:i/>
        </w:rPr>
        <w:t>Morgan Stanley Capital Group, Inc. v. Public Util. Dist. No. 1,</w:t>
      </w:r>
      <w:r>
        <w:t xml:space="preserve"> 128 S. Ct. 2733 (2008).</w:t>
      </w:r>
    </w:p>
    <w:p w:rsidR="0079779A" w:rsidRDefault="003E5439" w14:paraId="3892B3B6" w14:textId="77777777">
      <w:pPr>
        <w:pStyle w:val="ArticleL2"/>
        <w:keepNext w:val="0"/>
      </w:pPr>
      <w:bookmarkStart w:name="_Toc433954062" w:id="519"/>
      <w:bookmarkStart w:name="_Toc433954220" w:id="520"/>
      <w:bookmarkStart w:name="_Toc288027320" w:id="521"/>
      <w:r>
        <w:rPr>
          <w:u w:val="single"/>
        </w:rPr>
        <w:t>Certifications</w:t>
      </w:r>
      <w:r>
        <w:rPr>
          <w:color w:val="000000"/>
        </w:rPr>
        <w:fldChar w:fldCharType="begin"/>
      </w:r>
      <w:r>
        <w:rPr>
          <w:color w:val="000000"/>
        </w:rPr>
        <w:instrText>tc "</w:instrText>
      </w:r>
      <w:bookmarkStart w:name="_Toc531859695" w:id="522"/>
      <w:bookmarkStart w:name="_Toc119238994" w:id="523"/>
      <w:r>
        <w:rPr>
          <w:color w:val="000000"/>
        </w:rPr>
        <w:instrText>20.6</w:instrText>
      </w:r>
      <w:r>
        <w:rPr>
          <w:color w:val="000000"/>
        </w:rPr>
        <w:tab/>
        <w:instrText>Certifications</w:instrText>
      </w:r>
      <w:bookmarkEnd w:id="522"/>
      <w:bookmarkEnd w:id="523"/>
      <w:r>
        <w:rPr>
          <w:color w:val="000000"/>
        </w:rPr>
        <w:instrText>” \f C \l 2</w:instrText>
      </w:r>
      <w:r>
        <w:rPr>
          <w:color w:val="000000"/>
        </w:rPr>
        <w:fldChar w:fldCharType="end"/>
      </w:r>
      <w:r>
        <w:t xml:space="preserve">.  Each Party shall deliver or cause to be delivered to the other Party certificates of its officers, accountants, engineers or agents as to matters as may be reasonably </w:t>
      </w:r>
      <w:proofErr w:type="gramStart"/>
      <w:r>
        <w:t>requested, and</w:t>
      </w:r>
      <w:proofErr w:type="gramEnd"/>
      <w:r>
        <w:t xml:space="preserve"> shall make available personnel and records relating to the Facility to the extent that the requesting Party requires the same in order to fulfill any regulatory reporting requirements, or to assist the requesting Party in litigation, including administrative proceedings before the PUC.</w:t>
      </w:r>
      <w:bookmarkEnd w:id="519"/>
      <w:bookmarkEnd w:id="520"/>
    </w:p>
    <w:p w:rsidR="0079779A" w:rsidRDefault="003E5439" w14:paraId="6F053138" w14:textId="77777777">
      <w:pPr>
        <w:pStyle w:val="ArticleL2"/>
        <w:keepNext w:val="0"/>
      </w:pPr>
      <w:bookmarkStart w:name="_Toc433954063" w:id="524"/>
      <w:bookmarkStart w:name="_Toc433954221" w:id="525"/>
      <w:r>
        <w:rPr>
          <w:u w:val="single"/>
        </w:rPr>
        <w:t>Disclaimer of Third Party Beneficiaries</w:t>
      </w:r>
      <w:r>
        <w:rPr>
          <w:color w:val="000000"/>
        </w:rPr>
        <w:fldChar w:fldCharType="begin"/>
      </w:r>
      <w:r>
        <w:rPr>
          <w:color w:val="000000"/>
        </w:rPr>
        <w:instrText>tc "</w:instrText>
      </w:r>
      <w:bookmarkStart w:name="_Toc531859696" w:id="526"/>
      <w:bookmarkStart w:name="_Toc119238995" w:id="527"/>
      <w:r>
        <w:rPr>
          <w:color w:val="000000"/>
        </w:rPr>
        <w:instrText>20.7</w:instrText>
      </w:r>
      <w:r>
        <w:rPr>
          <w:color w:val="000000"/>
        </w:rPr>
        <w:tab/>
        <w:instrText>Disclaimer of Third Party Beneficiaries</w:instrText>
      </w:r>
      <w:bookmarkEnd w:id="526"/>
      <w:bookmarkEnd w:id="527"/>
      <w:r>
        <w:rPr>
          <w:color w:val="000000"/>
        </w:rPr>
        <w:instrText>” \f C \l 2</w:instrText>
      </w:r>
      <w:r>
        <w:rPr>
          <w:color w:val="000000"/>
        </w:rPr>
        <w:fldChar w:fldCharType="end"/>
      </w:r>
      <w:r>
        <w:t>.  In executing this PPA, Company does not and does not intend to extend its credit or financial support for the benefit of any Facility Lender or any other third party transacting with Seller.  Nothing in this PPA shall be construed to create any duty to, or standard of care with reference to, or any liability to, any person not a party to this PPA.</w:t>
      </w:r>
      <w:bookmarkEnd w:id="521"/>
      <w:bookmarkEnd w:id="524"/>
      <w:bookmarkEnd w:id="525"/>
    </w:p>
    <w:p w:rsidR="0079779A" w:rsidRDefault="003E5439" w14:paraId="353E24F6" w14:textId="77777777">
      <w:pPr>
        <w:pStyle w:val="ArticleL2"/>
        <w:keepNext w:val="0"/>
      </w:pPr>
      <w:bookmarkStart w:name="_Toc288027321" w:id="528"/>
      <w:bookmarkStart w:name="_Toc433954064" w:id="529"/>
      <w:bookmarkStart w:name="_Toc433954222" w:id="530"/>
      <w:r>
        <w:rPr>
          <w:u w:val="single"/>
        </w:rPr>
        <w:t>Relationship of the Parties</w:t>
      </w:r>
      <w:r>
        <w:fldChar w:fldCharType="begin"/>
      </w:r>
      <w:r>
        <w:instrText>tc "</w:instrText>
      </w:r>
      <w:bookmarkStart w:name="_Toc531859697" w:id="531"/>
      <w:bookmarkStart w:name="_Toc119238996" w:id="532"/>
      <w:r>
        <w:instrText>20.8</w:instrText>
      </w:r>
      <w:r>
        <w:tab/>
        <w:instrText>Relationship of the Parties</w:instrText>
      </w:r>
      <w:bookmarkEnd w:id="531"/>
      <w:bookmarkEnd w:id="532"/>
      <w:r>
        <w:instrText>” \f C \l 2</w:instrText>
      </w:r>
      <w:r>
        <w:fldChar w:fldCharType="end"/>
      </w:r>
      <w:r>
        <w:t>.</w:t>
      </w:r>
      <w:bookmarkEnd w:id="528"/>
      <w:bookmarkEnd w:id="529"/>
      <w:bookmarkEnd w:id="530"/>
    </w:p>
    <w:p w:rsidR="0079779A" w:rsidRDefault="003E5439" w14:paraId="2C1CAF56" w14:textId="77777777">
      <w:pPr>
        <w:pStyle w:val="ArticleL3"/>
        <w:keepNext w:val="0"/>
      </w:pPr>
      <w:r>
        <w:t>This PPA shall not be interpreted to create an association, joint venture, or partnership between the Parties, nor to impose any partnership obligation or liability upon either Party.  Except as specifically provided for in this PPA to the contrary, neither Party shall have any right, power, or authority to enter into any agreement or undertaking for, or act on behalf of, or to act as an agent or representative of, the other Party.</w:t>
      </w:r>
    </w:p>
    <w:p w:rsidR="0079779A" w:rsidRDefault="003E5439" w14:paraId="637F3208" w14:textId="77777777">
      <w:pPr>
        <w:pStyle w:val="ArticleL3"/>
        <w:keepNext w:val="0"/>
      </w:pPr>
      <w:r>
        <w:t>Seller shall be solely liable for the payment of all wages, taxes, and other costs related to the employment of persons to perform such services, including all federal, state, and local income, social security, payroll, and employment taxes and statutorily mandated workers’ compensation coverage.  None of the persons employed by Seller shall be considered employees of Company for any purpose; nor shall Seller represent to any person that he or she is or shall become a Company employee.</w:t>
      </w:r>
    </w:p>
    <w:p w:rsidR="0079779A" w:rsidRDefault="003E5439" w14:paraId="21AF5B2A" w14:textId="77777777">
      <w:pPr>
        <w:pStyle w:val="ArticleL2"/>
        <w:keepNext w:val="0"/>
      </w:pPr>
      <w:bookmarkStart w:name="_Toc288027323" w:id="533"/>
      <w:bookmarkStart w:name="_Toc433954065" w:id="534"/>
      <w:bookmarkStart w:name="_Toc433954223" w:id="535"/>
      <w:r>
        <w:rPr>
          <w:u w:val="single"/>
        </w:rPr>
        <w:t>Survival of Obligations</w:t>
      </w:r>
      <w:r>
        <w:rPr>
          <w:color w:val="000000"/>
        </w:rPr>
        <w:fldChar w:fldCharType="begin"/>
      </w:r>
      <w:r>
        <w:rPr>
          <w:color w:val="000000"/>
        </w:rPr>
        <w:instrText>tc "</w:instrText>
      </w:r>
      <w:bookmarkStart w:name="_Toc531859698" w:id="536"/>
      <w:bookmarkStart w:name="_Toc119238997" w:id="537"/>
      <w:r>
        <w:rPr>
          <w:color w:val="000000"/>
        </w:rPr>
        <w:instrText>20.9</w:instrText>
      </w:r>
      <w:r>
        <w:rPr>
          <w:color w:val="000000"/>
        </w:rPr>
        <w:tab/>
        <w:instrText>Survival of Obligations</w:instrText>
      </w:r>
      <w:bookmarkEnd w:id="536"/>
      <w:bookmarkEnd w:id="537"/>
      <w:r>
        <w:rPr>
          <w:color w:val="000000"/>
        </w:rPr>
        <w:instrText>” \f C \l 2</w:instrText>
      </w:r>
      <w:r>
        <w:rPr>
          <w:color w:val="000000"/>
        </w:rPr>
        <w:fldChar w:fldCharType="end"/>
      </w:r>
      <w:r>
        <w:t>.  Cancellation, expiration, or earlier termination of this PPA shall not relieve the Parties of obligations, including warranties, remedies, or indemnities, that by their nature should survive such cancellation, expiration, or termination, which obligations shall survive for the period of the applicable statute(s) of limitation.</w:t>
      </w:r>
      <w:bookmarkEnd w:id="533"/>
      <w:bookmarkEnd w:id="534"/>
      <w:bookmarkEnd w:id="535"/>
    </w:p>
    <w:p w:rsidR="0079779A" w:rsidRDefault="003E5439" w14:paraId="5F491034" w14:textId="77777777">
      <w:pPr>
        <w:pStyle w:val="ArticleL2"/>
        <w:keepNext w:val="0"/>
        <w:rPr>
          <w:b/>
          <w:bCs/>
        </w:rPr>
      </w:pPr>
      <w:bookmarkStart w:name="_Toc288027324" w:id="538"/>
      <w:bookmarkStart w:name="_Toc433954066" w:id="539"/>
      <w:bookmarkStart w:name="_Toc433954224" w:id="540"/>
      <w:r>
        <w:rPr>
          <w:u w:val="single"/>
        </w:rPr>
        <w:t>Severability</w:t>
      </w:r>
      <w:r>
        <w:rPr>
          <w:color w:val="000000"/>
        </w:rPr>
        <w:fldChar w:fldCharType="begin"/>
      </w:r>
      <w:r>
        <w:rPr>
          <w:color w:val="000000"/>
        </w:rPr>
        <w:instrText>tc "</w:instrText>
      </w:r>
      <w:bookmarkStart w:name="_Toc531859699" w:id="541"/>
      <w:bookmarkStart w:name="_Toc119238998" w:id="542"/>
      <w:r>
        <w:rPr>
          <w:color w:val="000000"/>
        </w:rPr>
        <w:instrText>20.10</w:instrText>
      </w:r>
      <w:r>
        <w:rPr>
          <w:color w:val="000000"/>
        </w:rPr>
        <w:tab/>
        <w:instrText>Severability</w:instrText>
      </w:r>
      <w:bookmarkEnd w:id="541"/>
      <w:bookmarkEnd w:id="542"/>
      <w:r>
        <w:rPr>
          <w:color w:val="000000"/>
        </w:rPr>
        <w:instrText>” \f C \l 2</w:instrText>
      </w:r>
      <w:r>
        <w:rPr>
          <w:color w:val="000000"/>
        </w:rPr>
        <w:fldChar w:fldCharType="end"/>
      </w:r>
      <w:r>
        <w:t>.  In the event any of the terms, covenants, or conditions of this PPA, its Exhibits, or the application of any such terms, covenants, or conditions, shall be held invalid, illegal, or unenforceable by any court or administrative body having jurisdiction, all other terms, covenants, and conditions of the PPA and their application not adversely affected thereby shall remain in force and effect</w:t>
      </w:r>
      <w:r>
        <w:rPr>
          <w:b/>
          <w:bCs/>
        </w:rPr>
        <w:t xml:space="preserve">; </w:t>
      </w:r>
      <w:r>
        <w:rPr>
          <w:rStyle w:val="Emphasis"/>
          <w:bCs/>
          <w:szCs w:val="24"/>
        </w:rPr>
        <w:t xml:space="preserve">provided, however, that </w:t>
      </w:r>
      <w:r>
        <w:rPr>
          <w:rStyle w:val="Emphasis"/>
          <w:bCs/>
          <w:i w:val="0"/>
          <w:szCs w:val="24"/>
        </w:rPr>
        <w:lastRenderedPageBreak/>
        <w:t>Company and Seller shall negotiate in good faith to attempt to implement an equitable adjustment in the provisions of this PPA with a view toward effecting the purposes of this PPA by replacing the provision that is held invalid, illegal, or unenforceable with a valid provision the economic effect of which comes as close as possible to that of the provision that has been found to be invalid, illegal or unenforceable.</w:t>
      </w:r>
      <w:bookmarkEnd w:id="538"/>
      <w:bookmarkEnd w:id="539"/>
      <w:bookmarkEnd w:id="540"/>
    </w:p>
    <w:p w:rsidR="0079779A" w:rsidRDefault="003E5439" w14:paraId="10FF92B4" w14:textId="77777777">
      <w:pPr>
        <w:pStyle w:val="ArticleL2"/>
        <w:keepNext w:val="0"/>
      </w:pPr>
      <w:bookmarkStart w:name="_Toc288027325" w:id="543"/>
      <w:bookmarkStart w:name="_Toc433954067" w:id="544"/>
      <w:bookmarkStart w:name="_Toc433954225" w:id="545"/>
      <w:r>
        <w:rPr>
          <w:u w:val="single"/>
        </w:rPr>
        <w:t>Complete Agreement; Amendments</w:t>
      </w:r>
      <w:r>
        <w:rPr>
          <w:color w:val="000000"/>
        </w:rPr>
        <w:fldChar w:fldCharType="begin"/>
      </w:r>
      <w:r>
        <w:rPr>
          <w:color w:val="000000"/>
        </w:rPr>
        <w:instrText>tc "</w:instrText>
      </w:r>
      <w:bookmarkStart w:name="_Toc531859700" w:id="546"/>
      <w:bookmarkStart w:name="_Toc119238999" w:id="547"/>
      <w:r>
        <w:rPr>
          <w:color w:val="000000"/>
        </w:rPr>
        <w:instrText>20.11</w:instrText>
      </w:r>
      <w:r>
        <w:rPr>
          <w:color w:val="000000"/>
        </w:rPr>
        <w:tab/>
        <w:instrText>Complete Agreement; Amendments</w:instrText>
      </w:r>
      <w:bookmarkEnd w:id="546"/>
      <w:bookmarkEnd w:id="547"/>
      <w:r>
        <w:rPr>
          <w:color w:val="000000"/>
        </w:rPr>
        <w:instrText>” \f C \l 2</w:instrText>
      </w:r>
      <w:r>
        <w:rPr>
          <w:color w:val="000000"/>
        </w:rPr>
        <w:fldChar w:fldCharType="end"/>
      </w:r>
      <w:r>
        <w:t>.  The terms and provisions contained in this PPA constitute the entire agreement between Company and Seller with respect to the Facility and shall supersede all previous communications, representations, or agreements, either verbal or written, between Company and Seller with respect to the purchase, sale and delivery of Energy, capacity, and other products and services required by this PPA.  Any amendment of this PPA, or any waiver of any provision hereof, shall be evidenced by a writing signed by the Party/</w:t>
      </w:r>
      <w:proofErr w:type="spellStart"/>
      <w:r>
        <w:t>ies</w:t>
      </w:r>
      <w:proofErr w:type="spellEnd"/>
      <w:r>
        <w:t xml:space="preserve"> to be bound thereby.</w:t>
      </w:r>
      <w:bookmarkEnd w:id="543"/>
      <w:bookmarkEnd w:id="544"/>
      <w:bookmarkEnd w:id="545"/>
    </w:p>
    <w:p w:rsidR="0079779A" w:rsidRDefault="003E5439" w14:paraId="37ABC7E0" w14:textId="77777777">
      <w:pPr>
        <w:pStyle w:val="ArticleL2"/>
        <w:keepNext w:val="0"/>
      </w:pPr>
      <w:bookmarkStart w:name="_Toc433954068" w:id="548"/>
      <w:bookmarkStart w:name="_Toc433954226" w:id="549"/>
      <w:bookmarkStart w:name="_Toc288027326" w:id="550"/>
      <w:r>
        <w:rPr>
          <w:u w:val="single"/>
        </w:rPr>
        <w:t>Waiver</w:t>
      </w:r>
      <w:r>
        <w:rPr>
          <w:color w:val="000000"/>
        </w:rPr>
        <w:fldChar w:fldCharType="begin"/>
      </w:r>
      <w:r>
        <w:rPr>
          <w:color w:val="000000"/>
        </w:rPr>
        <w:instrText>tc "</w:instrText>
      </w:r>
      <w:bookmarkStart w:name="_Toc531859701" w:id="551"/>
      <w:bookmarkStart w:name="_Toc119239000" w:id="552"/>
      <w:r>
        <w:rPr>
          <w:color w:val="000000"/>
        </w:rPr>
        <w:instrText>20.12</w:instrText>
      </w:r>
      <w:r>
        <w:rPr>
          <w:color w:val="000000"/>
        </w:rPr>
        <w:tab/>
        <w:instrText>Waiver</w:instrText>
      </w:r>
      <w:bookmarkEnd w:id="551"/>
      <w:bookmarkEnd w:id="552"/>
      <w:r>
        <w:rPr>
          <w:color w:val="000000"/>
        </w:rPr>
        <w:instrText>” \f C \l 2</w:instrText>
      </w:r>
      <w:r>
        <w:rPr>
          <w:color w:val="000000"/>
        </w:rPr>
        <w:fldChar w:fldCharType="end"/>
      </w:r>
      <w:r>
        <w:t>.  The failure of either Party to enforce or insist upon compliance with or strict performance of any of the terms or conditions of this PPA, or to take advantage of any of its rights hereunder, shall not constitute a waiver or relinquishment of any such terms, conditions, or rights, but the same shall be and remain at all times in full force and effect.</w:t>
      </w:r>
      <w:bookmarkEnd w:id="548"/>
      <w:bookmarkEnd w:id="549"/>
    </w:p>
    <w:p w:rsidR="0079779A" w:rsidRDefault="003E5439" w14:paraId="541FB6F6" w14:textId="77777777">
      <w:pPr>
        <w:pStyle w:val="ArticleL2"/>
        <w:keepNext w:val="0"/>
      </w:pPr>
      <w:bookmarkStart w:name="_Toc433954069" w:id="553"/>
      <w:bookmarkStart w:name="_Toc433954227" w:id="554"/>
      <w:r>
        <w:rPr>
          <w:u w:val="single"/>
        </w:rPr>
        <w:t>Binding Effect</w:t>
      </w:r>
      <w:r>
        <w:rPr>
          <w:color w:val="000000"/>
        </w:rPr>
        <w:fldChar w:fldCharType="begin"/>
      </w:r>
      <w:r>
        <w:rPr>
          <w:color w:val="000000"/>
        </w:rPr>
        <w:instrText>tc "</w:instrText>
      </w:r>
      <w:bookmarkStart w:name="_Toc531859702" w:id="555"/>
      <w:bookmarkStart w:name="_Toc119239001" w:id="556"/>
      <w:r>
        <w:rPr>
          <w:color w:val="000000"/>
        </w:rPr>
        <w:instrText>20.13</w:instrText>
      </w:r>
      <w:r>
        <w:rPr>
          <w:color w:val="000000"/>
        </w:rPr>
        <w:tab/>
        <w:instrText>Binding Effect</w:instrText>
      </w:r>
      <w:bookmarkEnd w:id="555"/>
      <w:bookmarkEnd w:id="556"/>
      <w:r>
        <w:rPr>
          <w:color w:val="000000"/>
        </w:rPr>
        <w:instrText>” \f C \l 2</w:instrText>
      </w:r>
      <w:r>
        <w:rPr>
          <w:color w:val="000000"/>
        </w:rPr>
        <w:fldChar w:fldCharType="end"/>
      </w:r>
      <w:r>
        <w:t>.  This PPA is binding upon and shall inure to the benefit of the Parties hereto and their respective successors, legal representatives, and assigns.</w:t>
      </w:r>
      <w:bookmarkEnd w:id="550"/>
      <w:bookmarkEnd w:id="553"/>
      <w:bookmarkEnd w:id="554"/>
    </w:p>
    <w:p w:rsidR="0079779A" w:rsidRDefault="003E5439" w14:paraId="5FBAEC5C" w14:textId="77777777">
      <w:pPr>
        <w:pStyle w:val="ArticleL2"/>
        <w:keepNext w:val="0"/>
      </w:pPr>
      <w:bookmarkStart w:name="_Toc288027327" w:id="557"/>
      <w:bookmarkStart w:name="_Toc433954070" w:id="558"/>
      <w:bookmarkStart w:name="_Toc433954228" w:id="559"/>
      <w:r>
        <w:rPr>
          <w:u w:val="single"/>
        </w:rPr>
        <w:t>Headings</w:t>
      </w:r>
      <w:r>
        <w:rPr>
          <w:color w:val="000000"/>
        </w:rPr>
        <w:fldChar w:fldCharType="begin"/>
      </w:r>
      <w:r>
        <w:rPr>
          <w:color w:val="000000"/>
        </w:rPr>
        <w:instrText>tc "</w:instrText>
      </w:r>
      <w:bookmarkStart w:name="_Toc531859703" w:id="560"/>
      <w:bookmarkStart w:name="_Toc119239002" w:id="561"/>
      <w:r>
        <w:rPr>
          <w:color w:val="000000"/>
        </w:rPr>
        <w:instrText>20.14</w:instrText>
      </w:r>
      <w:r>
        <w:rPr>
          <w:color w:val="000000"/>
        </w:rPr>
        <w:tab/>
        <w:instrText>Headings</w:instrText>
      </w:r>
      <w:bookmarkEnd w:id="560"/>
      <w:bookmarkEnd w:id="561"/>
      <w:r>
        <w:rPr>
          <w:color w:val="000000"/>
        </w:rPr>
        <w:instrText>” \f C \l 2</w:instrText>
      </w:r>
      <w:r>
        <w:rPr>
          <w:color w:val="000000"/>
        </w:rPr>
        <w:fldChar w:fldCharType="end"/>
      </w:r>
      <w:r>
        <w:t>.  Captions and headings used in this PPA are for ease of reference only and do not constitute a part of this PPA.</w:t>
      </w:r>
      <w:bookmarkEnd w:id="557"/>
      <w:bookmarkEnd w:id="558"/>
      <w:bookmarkEnd w:id="559"/>
    </w:p>
    <w:p w:rsidR="0079779A" w:rsidRDefault="003E5439" w14:paraId="210A5BF7" w14:textId="77777777">
      <w:pPr>
        <w:pStyle w:val="ArticleL2"/>
        <w:keepNext w:val="0"/>
      </w:pPr>
      <w:bookmarkStart w:name="_Toc288027328" w:id="562"/>
      <w:bookmarkStart w:name="_Toc433954071" w:id="563"/>
      <w:bookmarkStart w:name="_Toc433954229" w:id="564"/>
      <w:r>
        <w:rPr>
          <w:u w:val="single"/>
        </w:rPr>
        <w:t>Counterparts and Electronic Signatures</w:t>
      </w:r>
      <w:r>
        <w:rPr>
          <w:color w:val="000000"/>
        </w:rPr>
        <w:fldChar w:fldCharType="begin"/>
      </w:r>
      <w:r>
        <w:rPr>
          <w:color w:val="000000"/>
        </w:rPr>
        <w:instrText>tc “</w:instrText>
      </w:r>
      <w:bookmarkStart w:name="_Toc531859704" w:id="565"/>
      <w:bookmarkStart w:name="_Toc119239003" w:id="566"/>
      <w:r>
        <w:rPr>
          <w:color w:val="000000"/>
        </w:rPr>
        <w:instrText>20.15</w:instrText>
      </w:r>
      <w:r>
        <w:rPr>
          <w:color w:val="000000"/>
        </w:rPr>
        <w:tab/>
        <w:instrText>Counterparts</w:instrText>
      </w:r>
      <w:bookmarkEnd w:id="565"/>
      <w:r>
        <w:rPr>
          <w:color w:val="000000"/>
        </w:rPr>
        <w:instrText xml:space="preserve"> and Electronic Signatures</w:instrText>
      </w:r>
      <w:bookmarkEnd w:id="566"/>
      <w:r>
        <w:rPr>
          <w:color w:val="000000"/>
        </w:rPr>
        <w:instrText>” \f C \l 2</w:instrText>
      </w:r>
      <w:r>
        <w:rPr>
          <w:color w:val="000000"/>
        </w:rPr>
        <w:fldChar w:fldCharType="end"/>
      </w:r>
      <w:r>
        <w:t>.  This PPA may be executed in counterparts, and each executed counterpart shall have the same force and effect as an original instrument.</w:t>
      </w:r>
      <w:bookmarkEnd w:id="562"/>
      <w:bookmarkEnd w:id="563"/>
      <w:bookmarkEnd w:id="564"/>
      <w:r>
        <w:t xml:space="preserve"> A manually signed copy of this PPA, or a copy of this PPA signed with an electronic or digital signature, delivered by e-mail shall be deemed to have the same legal effect as delivery of an original signed copy of this Agreement.  No legally binding obligation shall be created with respect to a Party until such Party has delivered or caused to be delivered a signed copy of this PPA.</w:t>
      </w:r>
    </w:p>
    <w:p w:rsidR="0079779A" w:rsidRDefault="003E5439" w14:paraId="2576E4B4" w14:textId="77777777">
      <w:pPr>
        <w:pStyle w:val="ArticleL2"/>
        <w:keepNext w:val="0"/>
      </w:pPr>
      <w:bookmarkStart w:name="_Toc433954072" w:id="567"/>
      <w:bookmarkStart w:name="_Toc433954230" w:id="568"/>
      <w:bookmarkStart w:name="_Toc288027330" w:id="569"/>
      <w:r>
        <w:rPr>
          <w:u w:val="single"/>
        </w:rPr>
        <w:t>Press Release</w:t>
      </w:r>
      <w:r>
        <w:rPr>
          <w:color w:val="000000"/>
        </w:rPr>
        <w:fldChar w:fldCharType="begin"/>
      </w:r>
      <w:r>
        <w:rPr>
          <w:color w:val="000000"/>
        </w:rPr>
        <w:instrText>tc "</w:instrText>
      </w:r>
      <w:bookmarkStart w:name="_Toc531859705" w:id="570"/>
      <w:bookmarkStart w:name="_Toc119239004" w:id="571"/>
      <w:r>
        <w:rPr>
          <w:color w:val="000000"/>
        </w:rPr>
        <w:instrText>20.16</w:instrText>
      </w:r>
      <w:r>
        <w:rPr>
          <w:color w:val="000000"/>
        </w:rPr>
        <w:tab/>
        <w:instrText>Press Release</w:instrText>
      </w:r>
      <w:bookmarkEnd w:id="570"/>
      <w:bookmarkEnd w:id="571"/>
      <w:r>
        <w:rPr>
          <w:color w:val="000000"/>
        </w:rPr>
        <w:instrText>” \f C \l 2</w:instrText>
      </w:r>
      <w:r>
        <w:rPr>
          <w:color w:val="000000"/>
        </w:rPr>
        <w:fldChar w:fldCharType="end"/>
      </w:r>
      <w:r>
        <w:t>.  Upon the request of either Party, the Parties shall develop a mutually agreed joint press release to be issued describing the location, size and nature of the Facility, the Term, and other relevant factual information about the relationship.</w:t>
      </w:r>
      <w:bookmarkEnd w:id="567"/>
      <w:bookmarkEnd w:id="568"/>
      <w:r>
        <w:t xml:space="preserve"> </w:t>
      </w:r>
      <w:bookmarkEnd w:id="569"/>
    </w:p>
    <w:p w:rsidR="0079779A" w:rsidRDefault="003E5439" w14:paraId="5D309C4A" w14:textId="77777777">
      <w:pPr>
        <w:pStyle w:val="ArticleL2"/>
        <w:keepNext w:val="0"/>
      </w:pPr>
      <w:bookmarkStart w:name="_Toc288027331" w:id="572"/>
      <w:bookmarkStart w:name="_Toc433954073" w:id="573"/>
      <w:bookmarkStart w:name="_Toc433954231" w:id="574"/>
      <w:r>
        <w:rPr>
          <w:u w:val="single"/>
        </w:rPr>
        <w:t>Exhibits</w:t>
      </w:r>
      <w:r>
        <w:rPr>
          <w:color w:val="000000"/>
        </w:rPr>
        <w:fldChar w:fldCharType="begin"/>
      </w:r>
      <w:r>
        <w:rPr>
          <w:color w:val="000000"/>
        </w:rPr>
        <w:instrText>tc "</w:instrText>
      </w:r>
      <w:bookmarkStart w:name="_Toc531859706" w:id="575"/>
      <w:bookmarkStart w:name="_Toc119239005" w:id="576"/>
      <w:r>
        <w:rPr>
          <w:color w:val="000000"/>
        </w:rPr>
        <w:instrText>20.17</w:instrText>
      </w:r>
      <w:r>
        <w:rPr>
          <w:color w:val="000000"/>
        </w:rPr>
        <w:tab/>
        <w:instrText>Exhibits</w:instrText>
      </w:r>
      <w:bookmarkEnd w:id="575"/>
      <w:bookmarkEnd w:id="576"/>
      <w:r>
        <w:rPr>
          <w:color w:val="000000"/>
        </w:rPr>
        <w:instrText>” \f C \l 2</w:instrText>
      </w:r>
      <w:r>
        <w:rPr>
          <w:color w:val="000000"/>
        </w:rPr>
        <w:fldChar w:fldCharType="end"/>
      </w:r>
      <w:r>
        <w:t xml:space="preserve">.  Either Party may change the information in </w:t>
      </w:r>
      <w:r>
        <w:rPr>
          <w:u w:val="single"/>
        </w:rPr>
        <w:t xml:space="preserve">Exhibit D – Notices </w:t>
      </w:r>
      <w:r>
        <w:t>at any time by notice without the approval of the other Party.  All other Exhibits may be changed to the extent allowed by specific provisions of this PPA or with the mutual consent of both Parties.</w:t>
      </w:r>
      <w:bookmarkEnd w:id="572"/>
      <w:bookmarkEnd w:id="573"/>
      <w:bookmarkEnd w:id="574"/>
    </w:p>
    <w:p w:rsidR="0079779A" w:rsidRDefault="003E5439" w14:paraId="2CE8A6FD" w14:textId="77777777">
      <w:pPr>
        <w:pStyle w:val="ArticleL2"/>
        <w:keepNext w:val="0"/>
      </w:pPr>
      <w:bookmarkStart w:name="_Toc288027332" w:id="577"/>
      <w:bookmarkStart w:name="_Toc433954074" w:id="578"/>
      <w:bookmarkStart w:name="_Toc433954232" w:id="579"/>
      <w:r>
        <w:rPr>
          <w:u w:val="single"/>
        </w:rPr>
        <w:t>Confidentiality</w:t>
      </w:r>
      <w:r>
        <w:fldChar w:fldCharType="begin"/>
      </w:r>
      <w:r>
        <w:instrText>tc "</w:instrText>
      </w:r>
      <w:bookmarkStart w:name="_Toc531859707" w:id="580"/>
      <w:bookmarkStart w:name="_Toc119239006" w:id="581"/>
      <w:r>
        <w:instrText>20.18</w:instrText>
      </w:r>
      <w:r>
        <w:tab/>
        <w:instrText>Confidentiality</w:instrText>
      </w:r>
      <w:bookmarkEnd w:id="580"/>
      <w:bookmarkEnd w:id="581"/>
      <w:r>
        <w:instrText>” \f C \l 2</w:instrText>
      </w:r>
      <w:r>
        <w:fldChar w:fldCharType="end"/>
      </w:r>
      <w:r>
        <w:t>.</w:t>
      </w:r>
      <w:bookmarkEnd w:id="577"/>
      <w:r>
        <w:t xml:space="preserve"> </w:t>
      </w:r>
      <w:bookmarkEnd w:id="578"/>
      <w:bookmarkEnd w:id="579"/>
    </w:p>
    <w:p w:rsidR="0079779A" w:rsidRDefault="003E5439" w14:paraId="745B0529" w14:textId="77777777">
      <w:pPr>
        <w:pStyle w:val="ArticleL3"/>
        <w:keepNext w:val="0"/>
      </w:pPr>
      <w:r>
        <w:t>For purposes hereof, “</w:t>
      </w:r>
      <w:r>
        <w:rPr>
          <w:u w:val="single"/>
        </w:rPr>
        <w:t>Confidential Information</w:t>
      </w:r>
      <w:r>
        <w:t>” means</w:t>
      </w:r>
    </w:p>
    <w:p w:rsidR="0079779A" w:rsidRDefault="003E5439" w14:paraId="62E1DA26" w14:textId="77777777">
      <w:pPr>
        <w:pStyle w:val="ArticleL4"/>
        <w:keepNext w:val="0"/>
      </w:pPr>
      <w:r>
        <w:t>information specifically designated as Confidential Information in this PPA; and</w:t>
      </w:r>
    </w:p>
    <w:p w:rsidR="0079779A" w:rsidRDefault="003E5439" w14:paraId="0D7ABF25" w14:textId="2D3D2CAF">
      <w:pPr>
        <w:pStyle w:val="ArticleL4"/>
        <w:keepNext w:val="0"/>
      </w:pPr>
      <w:r>
        <w:lastRenderedPageBreak/>
        <w:t>written information delivered by one Party to the other from time to time during the Term</w:t>
      </w:r>
      <w:r w:rsidR="00196489">
        <w:t xml:space="preserve"> or in connection with this PPA</w:t>
      </w:r>
      <w:r>
        <w:t>, which information is labeled prominently as “Confidential</w:t>
      </w:r>
      <w:proofErr w:type="gramStart"/>
      <w:r>
        <w:t>,”  “</w:t>
      </w:r>
      <w:proofErr w:type="gramEnd"/>
      <w:r>
        <w:t xml:space="preserve">Proprietary” or the like </w:t>
      </w:r>
      <w:r>
        <w:rPr>
          <w:u w:val="single"/>
        </w:rPr>
        <w:t>and</w:t>
      </w:r>
      <w:r>
        <w:t xml:space="preserve"> specifically references this PPA; </w:t>
      </w:r>
      <w:r>
        <w:rPr>
          <w:i/>
          <w:iCs/>
        </w:rPr>
        <w:t xml:space="preserve">provided, however, </w:t>
      </w:r>
      <w:r>
        <w:t xml:space="preserve">that “Confidential Information” shall not include information that: </w:t>
      </w:r>
    </w:p>
    <w:p w:rsidR="0079779A" w:rsidRDefault="003E5439" w14:paraId="3903B207" w14:textId="77777777">
      <w:pPr>
        <w:pStyle w:val="BodyText"/>
        <w:numPr>
          <w:ilvl w:val="0"/>
          <w:numId w:val="39"/>
        </w:numPr>
        <w:tabs>
          <w:tab w:val="left" w:pos="2340"/>
        </w:tabs>
        <w:spacing w:after="160"/>
        <w:jc w:val="both"/>
        <w:rPr>
          <w:rFonts w:cs="Arial"/>
        </w:rPr>
      </w:pPr>
      <w:r>
        <w:rPr>
          <w:rFonts w:cs="Arial"/>
        </w:rPr>
        <w:t>is publicly available as of the date hereof, or becomes publicly available during the Term through no fault of the recipient Party;</w:t>
      </w:r>
    </w:p>
    <w:p w:rsidR="0079779A" w:rsidRDefault="003E5439" w14:paraId="5DD18A3D" w14:textId="77777777">
      <w:pPr>
        <w:pStyle w:val="BodyText"/>
        <w:numPr>
          <w:ilvl w:val="0"/>
          <w:numId w:val="39"/>
        </w:numPr>
        <w:tabs>
          <w:tab w:val="left" w:pos="2340"/>
        </w:tabs>
        <w:spacing w:after="160"/>
        <w:ind w:left="2340" w:hanging="540"/>
        <w:jc w:val="both"/>
        <w:rPr>
          <w:rFonts w:cs="Arial"/>
        </w:rPr>
      </w:pPr>
      <w:r>
        <w:rPr>
          <w:rFonts w:cs="Arial"/>
        </w:rPr>
        <w:t>can be documented was independently developed by the recipient Party;  and/or</w:t>
      </w:r>
    </w:p>
    <w:p w:rsidR="0079779A" w:rsidRDefault="003E5439" w14:paraId="4AB11BE1" w14:textId="77777777">
      <w:pPr>
        <w:pStyle w:val="BodyText"/>
        <w:numPr>
          <w:ilvl w:val="0"/>
          <w:numId w:val="39"/>
        </w:numPr>
        <w:tabs>
          <w:tab w:val="left" w:pos="2340"/>
        </w:tabs>
        <w:spacing w:after="160"/>
        <w:ind w:left="2340" w:hanging="540"/>
        <w:jc w:val="both"/>
        <w:rPr>
          <w:rFonts w:cs="Arial"/>
        </w:rPr>
      </w:pPr>
      <w:r>
        <w:rPr>
          <w:rFonts w:cs="Arial"/>
        </w:rPr>
        <w:t xml:space="preserve">is disclosed to the recipient Party from an ultimate source other than the protected Party, without breach of this PPA by the recipient Party.  </w:t>
      </w:r>
    </w:p>
    <w:p w:rsidR="0079779A" w:rsidRDefault="003E5439" w14:paraId="078758CA" w14:textId="77777777">
      <w:pPr>
        <w:pStyle w:val="ArticleL3"/>
        <w:keepNext w:val="0"/>
      </w:pPr>
      <w:r>
        <w:t xml:space="preserve">The recipient Party shall (i) maintain the confidentiality of all Confidential Information of the protected Party, using the same degree of care used by the recipient Party to protect its own Confidential Information (and in any event not less than a reasonable degree of care), and (ii) shall use Confidential Information only in connection with its performance of this PPA.  Confidential Information may be disclosed by the recipient Party to its agents, employees, directors, officers, consultants, auditors, </w:t>
      </w:r>
      <w:proofErr w:type="gramStart"/>
      <w:r>
        <w:t>lenders</w:t>
      </w:r>
      <w:proofErr w:type="gramEnd"/>
      <w:r>
        <w:t xml:space="preserve"> and equity investors, subject to their acceptance of the obligations of confidentiality imposed hereby and for whose violations of this </w:t>
      </w:r>
      <w:r>
        <w:rPr>
          <w:u w:val="single"/>
        </w:rPr>
        <w:t>Section 20.18</w:t>
      </w:r>
      <w:r>
        <w:t xml:space="preserve"> the recipient Party shall be responsible. </w:t>
      </w:r>
    </w:p>
    <w:p w:rsidR="0079779A" w:rsidRDefault="00B60283" w14:paraId="6E65ECE3" w14:textId="6EF0AECD">
      <w:pPr>
        <w:pStyle w:val="ArticleL3"/>
      </w:pPr>
      <w:r>
        <w:t>Either Party may disclose</w:t>
      </w:r>
      <w:r w:rsidR="003E5439">
        <w:t xml:space="preserve"> Confidential Information to </w:t>
      </w:r>
      <w:r>
        <w:t>the</w:t>
      </w:r>
      <w:r w:rsidR="003E5439">
        <w:t xml:space="preserve"> PUC, its staff, parties, intervenors, participants or consumer counsel in any regulatory or administrative proceedings before a PUC, </w:t>
      </w:r>
      <w:r w:rsidRPr="00B60283">
        <w:t xml:space="preserve">or pursuant to any regulatory requirement outside of a proceeding, without consent of or notice to the other Party, </w:t>
      </w:r>
      <w:r w:rsidRPr="00B60283">
        <w:rPr>
          <w:i/>
          <w:iCs/>
        </w:rPr>
        <w:t>provided</w:t>
      </w:r>
      <w:r w:rsidRPr="00B60283">
        <w:t xml:space="preserve">, that </w:t>
      </w:r>
      <w:r w:rsidR="003E5439">
        <w:t>the disclosing Party shall submit such Confidential information in accordance with applicable PUC confidentiality rules and procedures, PUC protective order or signed non-disclosure agreement. In the event that Confidential Information must be disclosed by Applicable Law (</w:t>
      </w:r>
      <w:proofErr w:type="gramStart"/>
      <w:r w:rsidR="003E5439">
        <w:t>e.g.</w:t>
      </w:r>
      <w:proofErr w:type="gramEnd"/>
      <w:r w:rsidR="003E5439">
        <w:t xml:space="preserve"> pursuant to subpoena or civil discovery)</w:t>
      </w:r>
      <w:r w:rsidRPr="00B60283">
        <w:t xml:space="preserve"> other than as set forth in the preceding sentence</w:t>
      </w:r>
      <w:r w:rsidR="003E5439">
        <w:t xml:space="preserve">, the Party required to make disclosure shall notify the protected Party sufficiently in advance to allow the protected Party a reasonable opportunity to obtain a protective order or seek other remedies, prior to disclosure by the recipient Party.  </w:t>
      </w:r>
    </w:p>
    <w:p w:rsidR="0079779A" w:rsidRDefault="003E5439" w14:paraId="573DA072" w14:textId="77777777">
      <w:pPr>
        <w:pStyle w:val="ArticleL2"/>
      </w:pPr>
      <w:r>
        <w:rPr>
          <w:u w:val="single"/>
        </w:rPr>
        <w:t>Accounting Treatment</w:t>
      </w:r>
      <w:r>
        <w:fldChar w:fldCharType="begin"/>
      </w:r>
      <w:r>
        <w:instrText>tc "</w:instrText>
      </w:r>
      <w:bookmarkStart w:name="_Toc119239007" w:id="582"/>
      <w:r>
        <w:instrText>20.19</w:instrText>
      </w:r>
      <w:r>
        <w:tab/>
        <w:instrText>Accounting Treatment</w:instrText>
      </w:r>
      <w:bookmarkEnd w:id="582"/>
      <w:r>
        <w:instrText>” \f C \l 2</w:instrText>
      </w:r>
      <w:r>
        <w:fldChar w:fldCharType="end"/>
      </w:r>
      <w:r>
        <w:t xml:space="preserve">. </w:t>
      </w:r>
    </w:p>
    <w:p w:rsidR="0079779A" w:rsidRDefault="003E5439" w14:paraId="7241297A" w14:textId="77777777">
      <w:pPr>
        <w:pStyle w:val="ArticleL3"/>
        <w:keepNext w:val="0"/>
        <w:suppressAutoHyphens/>
        <w:spacing w:after="240"/>
      </w:pPr>
      <w:r>
        <w:t xml:space="preserve">If and when Company reasonably determines that Company must consolidate financial information of Seller into Company’s financial statements under FASB ASC 810 or other accounting standard applicable to Company: </w:t>
      </w:r>
    </w:p>
    <w:p w:rsidR="0079779A" w:rsidRDefault="003E5439" w14:paraId="48E11505" w14:textId="77777777">
      <w:pPr>
        <w:pStyle w:val="ArticleL4"/>
        <w:keepNext w:val="0"/>
        <w:tabs>
          <w:tab w:val="num" w:pos="2340"/>
        </w:tabs>
        <w:suppressAutoHyphens/>
        <w:spacing w:after="240"/>
        <w:ind w:left="360" w:firstLine="1440"/>
      </w:pPr>
      <w:r>
        <w:t xml:space="preserve">the Parties shall use Commercially Reasonable Efforts to amend this PPA and/or the Parties’ protocols for operation of the Facility to avoid such treatment, at the least possible cost to the Parties, consistent with the intent of this PPA to the extent </w:t>
      </w:r>
      <w:proofErr w:type="gramStart"/>
      <w:r>
        <w:t>possible;  or</w:t>
      </w:r>
      <w:proofErr w:type="gramEnd"/>
    </w:p>
    <w:p w:rsidR="0079779A" w:rsidRDefault="003E5439" w14:paraId="7DF049A3" w14:textId="77777777">
      <w:pPr>
        <w:pStyle w:val="ArticleL4"/>
        <w:keepNext w:val="0"/>
        <w:tabs>
          <w:tab w:val="num" w:pos="2340"/>
        </w:tabs>
        <w:suppressAutoHyphens/>
        <w:spacing w:after="240"/>
        <w:ind w:left="360" w:firstLine="1440"/>
      </w:pPr>
      <w:r>
        <w:t xml:space="preserve">if such avoidance is not reasonably feasible, Seller shall provide to Company from time to time upon request such quarterly and annual financial </w:t>
      </w:r>
      <w:r>
        <w:lastRenderedPageBreak/>
        <w:t>information as may be needed for Company to comply with such standard, in such format and within such time frames as Company may reasonably request.</w:t>
      </w:r>
    </w:p>
    <w:p w:rsidR="0079779A" w:rsidRDefault="003E5439" w14:paraId="0645F6D7" w14:textId="77777777">
      <w:pPr>
        <w:pStyle w:val="ArticleL3"/>
        <w:keepNext w:val="0"/>
        <w:suppressAutoHyphens/>
        <w:spacing w:after="240"/>
      </w:pPr>
      <w:r>
        <w:t xml:space="preserve">If and when Company reasonably determines that Company must treat this PPA as a “finance lease” under FASB ASC 840 or other accounting standard applicable to Company, the Parties shall use Commercially Reasonable Efforts to amend this PPA and/or the Parties’ protocols for operation of the Facility to avoid such treatment, at the least possible cost to the Parties, consistent with the intent of this PPA to the extent possible, if </w:t>
      </w:r>
      <w:proofErr w:type="gramStart"/>
      <w:r>
        <w:t>so</w:t>
      </w:r>
      <w:proofErr w:type="gramEnd"/>
      <w:r>
        <w:t xml:space="preserve"> requested by Company.</w:t>
      </w:r>
    </w:p>
    <w:p w:rsidR="0079779A" w:rsidRDefault="003E5439" w14:paraId="451B5D10" w14:textId="77777777">
      <w:pPr>
        <w:jc w:val="center"/>
        <w:rPr>
          <w:rFonts w:cs="Arial"/>
        </w:rPr>
      </w:pPr>
      <w:r>
        <w:rPr>
          <w:rFonts w:cs="Arial"/>
          <w:i/>
        </w:rPr>
        <w:t>[remainder of this page intentionally left blank]</w:t>
      </w:r>
    </w:p>
    <w:p w:rsidR="0079779A" w:rsidRDefault="003E5439" w14:paraId="45CE092D" w14:textId="77777777">
      <w:pPr>
        <w:pStyle w:val="BodyText"/>
        <w:ind w:firstLine="720"/>
        <w:rPr>
          <w:rFonts w:cs="Arial"/>
        </w:rPr>
      </w:pPr>
      <w:r>
        <w:rPr>
          <w:rFonts w:cs="Arial"/>
        </w:rPr>
        <w:br w:type="page"/>
      </w:r>
      <w:r>
        <w:rPr>
          <w:rFonts w:cs="Arial"/>
        </w:rPr>
        <w:lastRenderedPageBreak/>
        <w:t>IN WITNESS WHEREOF, the Parties have executed this PPA as of the date first set forth above.</w:t>
      </w:r>
    </w:p>
    <w:p w:rsidR="0079779A" w:rsidRDefault="0079779A" w14:paraId="0C42DF70" w14:textId="77777777">
      <w:pPr>
        <w:pStyle w:val="BodyText"/>
        <w:spacing w:after="0"/>
        <w:rPr>
          <w:rFonts w:cs="Arial"/>
        </w:rPr>
      </w:pPr>
    </w:p>
    <w:p w:rsidR="0079779A" w:rsidRDefault="003E5439" w14:paraId="7C82883A" w14:textId="77777777">
      <w:pPr>
        <w:pStyle w:val="BodyText"/>
        <w:spacing w:after="120"/>
        <w:ind w:left="3240"/>
        <w:rPr>
          <w:rFonts w:cs="Arial"/>
          <w:i/>
        </w:rPr>
      </w:pPr>
      <w:r>
        <w:rPr>
          <w:rFonts w:cs="Arial"/>
          <w:i/>
        </w:rPr>
        <w:t>Seller:</w:t>
      </w:r>
    </w:p>
    <w:p w:rsidR="0079779A" w:rsidRDefault="003E5439" w14:paraId="36B11048" w14:textId="77777777">
      <w:pPr>
        <w:pStyle w:val="BodyText"/>
        <w:spacing w:after="360"/>
        <w:ind w:left="3600"/>
        <w:rPr>
          <w:rFonts w:cs="Arial"/>
          <w:b/>
        </w:rPr>
      </w:pPr>
      <w:r>
        <w:rPr>
          <w:rFonts w:cs="Arial"/>
          <w:b/>
        </w:rPr>
        <w:t>____________________________ [LLC]</w:t>
      </w:r>
    </w:p>
    <w:p w:rsidR="0079779A" w:rsidRDefault="003E5439" w14:paraId="41CA73B2" w14:textId="77777777">
      <w:pPr>
        <w:pStyle w:val="BodyText"/>
        <w:spacing w:after="0"/>
        <w:ind w:left="3600"/>
        <w:rPr>
          <w:rFonts w:cs="Arial"/>
          <w:u w:val="single"/>
        </w:rPr>
      </w:pPr>
      <w:r>
        <w:rPr>
          <w:rFonts w:cs="Arial"/>
        </w:rPr>
        <w:t xml:space="preserve">By: </w:t>
      </w:r>
      <w:r>
        <w:rPr>
          <w:rFonts w:cs="Arial"/>
          <w:u w:val="single"/>
        </w:rPr>
        <w:t xml:space="preserve"> _______________________</w:t>
      </w:r>
    </w:p>
    <w:p w:rsidR="0079779A" w:rsidRDefault="003E5439" w14:paraId="0EC54FD4" w14:textId="77777777">
      <w:pPr>
        <w:pStyle w:val="BodyText"/>
        <w:spacing w:after="0"/>
        <w:ind w:left="3600"/>
        <w:rPr>
          <w:rFonts w:cs="Arial"/>
        </w:rPr>
      </w:pPr>
      <w:r>
        <w:rPr>
          <w:rFonts w:cs="Arial"/>
        </w:rPr>
        <w:tab/>
        <w:t>[</w:t>
      </w:r>
      <w:r>
        <w:rPr>
          <w:rFonts w:cs="Arial"/>
          <w:highlight w:val="yellow"/>
          <w:lang w:val="en-US"/>
        </w:rPr>
        <w:t>NAME</w:t>
      </w:r>
      <w:r>
        <w:rPr>
          <w:rFonts w:cs="Arial"/>
        </w:rPr>
        <w:t>]</w:t>
      </w:r>
    </w:p>
    <w:p w:rsidR="0079779A" w:rsidRDefault="003E5439" w14:paraId="42943B87" w14:textId="77777777">
      <w:pPr>
        <w:pStyle w:val="BodyText"/>
        <w:spacing w:after="0"/>
        <w:ind w:left="3600"/>
        <w:rPr>
          <w:rFonts w:cs="Arial"/>
          <w:lang w:val="en-US"/>
        </w:rPr>
      </w:pPr>
      <w:r>
        <w:rPr>
          <w:rFonts w:cs="Arial"/>
        </w:rPr>
        <w:tab/>
      </w:r>
      <w:r>
        <w:rPr>
          <w:rFonts w:cs="Arial"/>
          <w:lang w:val="en-US"/>
        </w:rPr>
        <w:t>[</w:t>
      </w:r>
      <w:r>
        <w:rPr>
          <w:rFonts w:cs="Arial"/>
          <w:highlight w:val="yellow"/>
          <w:lang w:val="en-US"/>
        </w:rPr>
        <w:t>TITLE</w:t>
      </w:r>
      <w:r>
        <w:rPr>
          <w:rFonts w:cs="Arial"/>
          <w:lang w:val="en-US"/>
        </w:rPr>
        <w:t>]</w:t>
      </w:r>
    </w:p>
    <w:p w:rsidR="0079779A" w:rsidRDefault="0079779A" w14:paraId="4BBC76C5" w14:textId="77777777">
      <w:pPr>
        <w:pStyle w:val="BodyText"/>
        <w:ind w:left="3240"/>
        <w:rPr>
          <w:rFonts w:cs="Arial"/>
        </w:rPr>
      </w:pPr>
    </w:p>
    <w:p w:rsidR="0079779A" w:rsidRDefault="003E5439" w14:paraId="18253D68" w14:textId="77777777">
      <w:pPr>
        <w:pStyle w:val="BodyText"/>
        <w:spacing w:after="120"/>
        <w:ind w:left="3240"/>
        <w:rPr>
          <w:rFonts w:cs="Arial"/>
          <w:i/>
        </w:rPr>
      </w:pPr>
      <w:r>
        <w:rPr>
          <w:rFonts w:cs="Arial"/>
          <w:i/>
        </w:rPr>
        <w:t>Company:</w:t>
      </w:r>
      <w:r>
        <w:rPr>
          <w:rStyle w:val="FootnoteReference"/>
          <w:rFonts w:cs="Arial"/>
        </w:rPr>
        <w:t xml:space="preserve"> </w:t>
      </w:r>
    </w:p>
    <w:p w:rsidR="0079779A" w:rsidRDefault="003E5439" w14:paraId="67B19073" w14:textId="77777777">
      <w:pPr>
        <w:pStyle w:val="BodyText"/>
        <w:ind w:left="3600"/>
        <w:rPr>
          <w:rFonts w:cs="Arial"/>
          <w:b/>
        </w:rPr>
      </w:pPr>
      <w:r>
        <w:rPr>
          <w:rFonts w:cs="Arial"/>
          <w:b/>
          <w:lang w:val="en-US"/>
        </w:rPr>
        <w:t xml:space="preserve">PUBLIC SERVICE COMPANY OF COLORADO, a Colorado corporation, </w:t>
      </w:r>
    </w:p>
    <w:p w:rsidR="0079779A" w:rsidRDefault="003E5439" w14:paraId="21FF8B88" w14:textId="77777777">
      <w:pPr>
        <w:pStyle w:val="BodyText"/>
        <w:spacing w:after="0"/>
        <w:ind w:left="3600"/>
        <w:rPr>
          <w:rFonts w:cs="Arial"/>
          <w:u w:val="single"/>
        </w:rPr>
      </w:pPr>
      <w:r>
        <w:rPr>
          <w:rFonts w:cs="Arial"/>
        </w:rPr>
        <w:t xml:space="preserve">By: </w:t>
      </w:r>
      <w:r>
        <w:rPr>
          <w:rFonts w:cs="Arial"/>
          <w:u w:val="single"/>
        </w:rPr>
        <w:t xml:space="preserve"> _______________________</w:t>
      </w:r>
    </w:p>
    <w:p w:rsidR="0079779A" w:rsidRDefault="003E5439" w14:paraId="6398AEA1" w14:textId="77777777">
      <w:pPr>
        <w:pStyle w:val="BodyText"/>
        <w:spacing w:after="0"/>
        <w:ind w:left="3600"/>
        <w:rPr>
          <w:rFonts w:cs="Arial"/>
        </w:rPr>
      </w:pPr>
      <w:r>
        <w:rPr>
          <w:rFonts w:cs="Arial"/>
        </w:rPr>
        <w:tab/>
        <w:t>[</w:t>
      </w:r>
      <w:r>
        <w:rPr>
          <w:rFonts w:cs="Arial"/>
          <w:highlight w:val="yellow"/>
          <w:lang w:val="en-US"/>
        </w:rPr>
        <w:t>NAME</w:t>
      </w:r>
      <w:r>
        <w:rPr>
          <w:rFonts w:cs="Arial"/>
        </w:rPr>
        <w:t>]</w:t>
      </w:r>
    </w:p>
    <w:p w:rsidR="0079779A" w:rsidRDefault="003E5439" w14:paraId="7370489A" w14:textId="77777777">
      <w:pPr>
        <w:pStyle w:val="BodyText"/>
        <w:spacing w:after="0"/>
        <w:ind w:left="3600"/>
        <w:rPr>
          <w:rFonts w:cs="Arial"/>
          <w:lang w:val="en-US"/>
        </w:rPr>
      </w:pPr>
      <w:r>
        <w:rPr>
          <w:rFonts w:cs="Arial"/>
        </w:rPr>
        <w:tab/>
      </w:r>
      <w:r>
        <w:rPr>
          <w:rFonts w:cs="Arial"/>
          <w:lang w:val="en-US"/>
        </w:rPr>
        <w:t>[</w:t>
      </w:r>
      <w:r>
        <w:rPr>
          <w:rFonts w:cs="Arial"/>
          <w:highlight w:val="yellow"/>
          <w:lang w:val="en-US"/>
        </w:rPr>
        <w:t>TITLE</w:t>
      </w:r>
      <w:r>
        <w:rPr>
          <w:rFonts w:cs="Arial"/>
          <w:lang w:val="en-US"/>
        </w:rPr>
        <w:t>]</w:t>
      </w:r>
    </w:p>
    <w:p w:rsidR="0079779A" w:rsidRDefault="003E5439" w14:paraId="359E2E49" w14:textId="77777777">
      <w:pPr>
        <w:pStyle w:val="BodyText"/>
        <w:spacing w:after="0"/>
        <w:ind w:left="3600"/>
        <w:rPr>
          <w:rFonts w:cs="Arial"/>
          <w:lang w:val="en-US"/>
        </w:rPr>
      </w:pPr>
      <w:r>
        <w:rPr>
          <w:rFonts w:cs="Arial"/>
          <w:lang w:val="en-US"/>
        </w:rPr>
        <w:tab/>
      </w:r>
    </w:p>
    <w:p w:rsidR="0079779A" w:rsidRDefault="003E5439" w14:paraId="1062878E" w14:textId="77777777">
      <w:pPr>
        <w:pStyle w:val="BodyText"/>
        <w:spacing w:after="0"/>
        <w:ind w:left="3600"/>
        <w:rPr>
          <w:rFonts w:cs="Arial"/>
          <w:lang w:val="en-US"/>
        </w:rPr>
      </w:pPr>
      <w:r>
        <w:rPr>
          <w:rFonts w:cs="Arial"/>
          <w:lang w:val="en-US"/>
        </w:rPr>
        <w:t>Authorized signatory for Public Service Company of Colorado</w:t>
      </w:r>
    </w:p>
    <w:p w:rsidR="0079779A" w:rsidRDefault="003E5439" w14:paraId="2EF70EAE" w14:textId="77777777">
      <w:pPr>
        <w:pStyle w:val="BodyText"/>
        <w:ind w:left="3600"/>
        <w:rPr>
          <w:rFonts w:cs="Arial"/>
        </w:rPr>
      </w:pPr>
      <w:r>
        <w:rPr>
          <w:rFonts w:cs="Arial"/>
        </w:rPr>
        <w:tab/>
      </w:r>
    </w:p>
    <w:p w:rsidR="0079779A" w:rsidRDefault="0079779A" w14:paraId="56FAF69C" w14:textId="77777777">
      <w:pPr>
        <w:rPr>
          <w:rFonts w:cs="Arial"/>
        </w:rPr>
        <w:sectPr w:rsidR="0079779A">
          <w:headerReference w:type="default" r:id="rId24"/>
          <w:footerReference w:type="default" r:id="rId25"/>
          <w:pgSz w:w="12240" w:h="15840" w:code="1"/>
          <w:pgMar w:top="1440" w:right="1440" w:bottom="1440" w:left="1440" w:header="720" w:footer="720" w:gutter="0"/>
          <w:pgNumType w:start="1"/>
          <w:cols w:space="720"/>
        </w:sectPr>
      </w:pPr>
    </w:p>
    <w:p w:rsidR="0079779A" w:rsidRDefault="003E5439" w14:paraId="74D3B0DC" w14:textId="77777777">
      <w:pPr>
        <w:pStyle w:val="BodyTextFirstIndent"/>
        <w:spacing w:after="120"/>
        <w:ind w:right="0" w:firstLine="0"/>
        <w:jc w:val="center"/>
        <w:rPr>
          <w:rFonts w:cs="Arial"/>
          <w:b/>
        </w:rPr>
      </w:pPr>
      <w:r>
        <w:rPr>
          <w:rFonts w:cs="Arial"/>
          <w:b/>
        </w:rPr>
        <w:lastRenderedPageBreak/>
        <w:t>EXHIBIT A</w:t>
      </w:r>
    </w:p>
    <w:p w:rsidR="0079779A" w:rsidRDefault="003E5439" w14:paraId="7834E13A" w14:textId="77777777">
      <w:pPr>
        <w:pStyle w:val="BodyTextFirstIndent"/>
        <w:spacing w:after="120"/>
        <w:ind w:right="0" w:firstLine="0"/>
        <w:jc w:val="center"/>
        <w:rPr>
          <w:rFonts w:cs="Arial"/>
          <w:b/>
        </w:rPr>
      </w:pPr>
      <w:r>
        <w:rPr>
          <w:rFonts w:cs="Arial"/>
          <w:b/>
        </w:rPr>
        <w:t>DEFINITIONS</w:t>
      </w:r>
      <w:r>
        <w:rPr>
          <w:rFonts w:cs="Arial"/>
          <w:b/>
        </w:rPr>
        <w:fldChar w:fldCharType="begin"/>
      </w:r>
      <w:r>
        <w:rPr>
          <w:rFonts w:cs="Arial"/>
        </w:rPr>
        <w:instrText xml:space="preserve"> TC \l "1"</w:instrText>
      </w:r>
      <w:r>
        <w:rPr>
          <w:rFonts w:cs="Arial"/>
          <w:b/>
        </w:rPr>
        <w:fldChar w:fldCharType="end"/>
      </w:r>
    </w:p>
    <w:p w:rsidR="0079779A" w:rsidRDefault="003E5439" w14:paraId="1FB17146" w14:textId="77777777">
      <w:pPr>
        <w:pStyle w:val="BodyTextFirstIndent"/>
        <w:ind w:right="0" w:firstLine="180"/>
        <w:rPr>
          <w:rFonts w:cs="Arial"/>
        </w:rPr>
      </w:pPr>
      <w:r>
        <w:rPr>
          <w:rFonts w:cs="Arial"/>
        </w:rPr>
        <w:t>The following terms shall have the meanings set forth herein:</w:t>
      </w:r>
    </w:p>
    <w:p w:rsidR="0079779A" w:rsidRDefault="003E5439" w14:paraId="75534000" w14:textId="77777777">
      <w:pPr>
        <w:pStyle w:val="BodyTextFirstIndent"/>
        <w:ind w:right="0"/>
      </w:pPr>
      <w:r>
        <w:t>“</w:t>
      </w:r>
      <w:r>
        <w:rPr>
          <w:u w:val="single"/>
        </w:rPr>
        <w:t>Actual Damages</w:t>
      </w:r>
      <w:r>
        <w:t xml:space="preserve">” </w:t>
      </w:r>
      <w:r>
        <w:rPr>
          <w:lang w:val="en-US"/>
        </w:rPr>
        <w:t xml:space="preserve">shall have </w:t>
      </w:r>
      <w:r>
        <w:t xml:space="preserve">the meaning set forth in </w:t>
      </w:r>
      <w:r>
        <w:rPr>
          <w:u w:val="single"/>
        </w:rPr>
        <w:t>Section 12.4(C)</w:t>
      </w:r>
      <w:r>
        <w:t>.</w:t>
      </w:r>
    </w:p>
    <w:p w:rsidR="0079779A" w:rsidRDefault="003E5439" w14:paraId="15CB3B56" w14:textId="77777777">
      <w:pPr>
        <w:pStyle w:val="BodyTextFirstIndent"/>
        <w:ind w:right="0"/>
        <w:rPr>
          <w:rFonts w:cs="Arial"/>
        </w:rPr>
      </w:pPr>
      <w:r>
        <w:t>“</w:t>
      </w:r>
      <w:r>
        <w:rPr>
          <w:u w:val="single"/>
        </w:rPr>
        <w:t>Affiliate</w:t>
      </w:r>
      <w:r>
        <w:t xml:space="preserve">” of any designated </w:t>
      </w:r>
      <w:r>
        <w:rPr>
          <w:lang w:val="en-US"/>
        </w:rPr>
        <w:t>p</w:t>
      </w:r>
      <w:proofErr w:type="spellStart"/>
      <w:r>
        <w:t>erson</w:t>
      </w:r>
      <w:proofErr w:type="spellEnd"/>
      <w:r>
        <w:t xml:space="preserve"> </w:t>
      </w:r>
      <w:r>
        <w:rPr>
          <w:lang w:val="en-US"/>
        </w:rPr>
        <w:t xml:space="preserve">or entity </w:t>
      </w:r>
      <w:r>
        <w:t xml:space="preserve">means any person or entity that directly or indirectly controls, is under the control of, or is under common control with, the designated </w:t>
      </w:r>
      <w:r>
        <w:rPr>
          <w:lang w:val="en-US"/>
        </w:rPr>
        <w:t>p</w:t>
      </w:r>
      <w:proofErr w:type="spellStart"/>
      <w:r>
        <w:t>erson</w:t>
      </w:r>
      <w:proofErr w:type="spellEnd"/>
      <w:r>
        <w:t xml:space="preserve"> </w:t>
      </w:r>
      <w:r>
        <w:rPr>
          <w:lang w:val="en-US"/>
        </w:rPr>
        <w:t xml:space="preserve">or entity </w:t>
      </w:r>
      <w:r>
        <w:t xml:space="preserve">by the power to direct or cause </w:t>
      </w:r>
      <w:r>
        <w:rPr>
          <w:rFonts w:cs="Arial"/>
        </w:rPr>
        <w:t xml:space="preserve">the direction of the management of the policies of designated </w:t>
      </w:r>
      <w:r>
        <w:rPr>
          <w:rFonts w:cs="Arial"/>
          <w:lang w:val="en-US"/>
        </w:rPr>
        <w:t>p</w:t>
      </w:r>
      <w:proofErr w:type="spellStart"/>
      <w:r>
        <w:rPr>
          <w:rFonts w:cs="Arial"/>
        </w:rPr>
        <w:t>erson</w:t>
      </w:r>
      <w:proofErr w:type="spellEnd"/>
      <w:r>
        <w:rPr>
          <w:rFonts w:cs="Arial"/>
          <w:lang w:val="en-US"/>
        </w:rPr>
        <w:t xml:space="preserve"> or entity</w:t>
      </w:r>
      <w:r>
        <w:rPr>
          <w:rFonts w:cs="Arial"/>
        </w:rPr>
        <w:t>, whether through ownership interest, by contract or otherwise.</w:t>
      </w:r>
    </w:p>
    <w:p w:rsidR="0079779A" w:rsidRDefault="003E5439" w14:paraId="30B0051F" w14:textId="77777777">
      <w:pPr>
        <w:pStyle w:val="BodyTextFirstIndent"/>
        <w:ind w:right="0"/>
        <w:rPr>
          <w:rFonts w:cs="Arial"/>
        </w:rPr>
      </w:pPr>
      <w:r>
        <w:rPr>
          <w:rFonts w:cs="Arial"/>
        </w:rPr>
        <w:t>“</w:t>
      </w:r>
      <w:r>
        <w:rPr>
          <w:rFonts w:cs="Arial"/>
          <w:u w:val="single"/>
        </w:rPr>
        <w:t>AGC</w:t>
      </w:r>
      <w:r>
        <w:rPr>
          <w:rFonts w:cs="Arial"/>
        </w:rPr>
        <w:t>” or “</w:t>
      </w:r>
      <w:r>
        <w:rPr>
          <w:rFonts w:cs="Arial"/>
          <w:u w:val="single"/>
        </w:rPr>
        <w:t>Automatic Generation Control</w:t>
      </w:r>
      <w:r>
        <w:rPr>
          <w:rFonts w:cs="Arial"/>
        </w:rPr>
        <w:t xml:space="preserve">” means the equipment and capability of an electric </w:t>
      </w:r>
      <w:r>
        <w:rPr>
          <w:rFonts w:cs="Arial"/>
          <w:lang w:val="en-US"/>
        </w:rPr>
        <w:t xml:space="preserve">energy storage </w:t>
      </w:r>
      <w:r>
        <w:rPr>
          <w:rFonts w:cs="Arial"/>
        </w:rPr>
        <w:t xml:space="preserve">facility automatically to adjust the </w:t>
      </w:r>
      <w:r>
        <w:rPr>
          <w:rFonts w:cs="Arial"/>
          <w:lang w:val="en-US"/>
        </w:rPr>
        <w:t xml:space="preserve">charging and discharging </w:t>
      </w:r>
      <w:r>
        <w:rPr>
          <w:rFonts w:cs="Arial"/>
        </w:rPr>
        <w:t xml:space="preserve">quantity within the applicable Balancing Authority with the purpose of interchange balancing and specifically, the Facility’s capability of accepting an AGC Set-Point electronically, and the automatic adjustment and regulation of the Facility’s </w:t>
      </w:r>
      <w:r>
        <w:rPr>
          <w:rFonts w:cs="Arial"/>
          <w:lang w:val="en-US"/>
        </w:rPr>
        <w:t>E</w:t>
      </w:r>
      <w:proofErr w:type="spellStart"/>
      <w:r>
        <w:rPr>
          <w:rFonts w:cs="Arial"/>
        </w:rPr>
        <w:t>nergy</w:t>
      </w:r>
      <w:proofErr w:type="spellEnd"/>
      <w:r>
        <w:rPr>
          <w:rFonts w:cs="Arial"/>
        </w:rPr>
        <w:t xml:space="preserve"> production via the SCADA System.   </w:t>
      </w:r>
    </w:p>
    <w:p w:rsidR="0079779A" w:rsidRDefault="003E5439" w14:paraId="6BC1368C" w14:textId="77777777">
      <w:pPr>
        <w:pStyle w:val="BodyTextFirstIndent"/>
        <w:ind w:right="0"/>
        <w:rPr>
          <w:rFonts w:cs="Arial"/>
        </w:rPr>
      </w:pPr>
      <w:r>
        <w:rPr>
          <w:rFonts w:cs="Arial"/>
        </w:rPr>
        <w:t>“</w:t>
      </w:r>
      <w:r>
        <w:rPr>
          <w:rFonts w:cs="Arial"/>
          <w:u w:val="single"/>
        </w:rPr>
        <w:t>AGC Protocols</w:t>
      </w:r>
      <w:r>
        <w:rPr>
          <w:rFonts w:cs="Arial"/>
        </w:rPr>
        <w:t xml:space="preserve">” means the protocols for AGC included in </w:t>
      </w:r>
      <w:r>
        <w:rPr>
          <w:u w:val="single"/>
        </w:rPr>
        <w:t>Exhibit I - AGC Protocols; Dispatch and Availability Notices; Data Collection; Technical Specifications</w:t>
      </w:r>
      <w:r>
        <w:rPr>
          <w:rFonts w:cs="Arial"/>
        </w:rPr>
        <w:t xml:space="preserve">, as such protocols may be modified from time to time in accordance with </w:t>
      </w:r>
      <w:r>
        <w:rPr>
          <w:rFonts w:cs="Arial"/>
          <w:u w:val="single"/>
        </w:rPr>
        <w:t>Section 10.</w:t>
      </w:r>
      <w:r>
        <w:rPr>
          <w:rFonts w:cs="Arial"/>
          <w:u w:val="single"/>
          <w:lang w:val="en-US"/>
        </w:rPr>
        <w:t>8</w:t>
      </w:r>
      <w:r>
        <w:rPr>
          <w:rFonts w:cs="Arial"/>
        </w:rPr>
        <w:t>.</w:t>
      </w:r>
    </w:p>
    <w:p w:rsidR="0079779A" w:rsidRDefault="003E5439" w14:paraId="6E569337" w14:textId="77777777">
      <w:pPr>
        <w:pStyle w:val="BodyTextFirstIndent"/>
        <w:ind w:right="0"/>
        <w:rPr>
          <w:rFonts w:cs="Arial"/>
        </w:rPr>
      </w:pPr>
      <w:r>
        <w:rPr>
          <w:rFonts w:cs="Arial"/>
        </w:rPr>
        <w:t>“</w:t>
      </w:r>
      <w:r>
        <w:rPr>
          <w:rFonts w:cs="Arial"/>
          <w:u w:val="single"/>
        </w:rPr>
        <w:t>AGC Remote/Local</w:t>
      </w:r>
      <w:r>
        <w:rPr>
          <w:rFonts w:cs="Arial"/>
        </w:rPr>
        <w:t>” means a handshake electronic signal sent from the Facility to the EMCC AGC system, and from the EMCC AGC system to the Facility, indicating the Facility is receiving AGC Set-Point locally (from the Facility) or remotely (EMCC AGC system) and is following that AGC Set-Point.</w:t>
      </w:r>
    </w:p>
    <w:p w:rsidR="0079779A" w:rsidRDefault="003E5439" w14:paraId="0A5A96A6" w14:textId="77777777">
      <w:pPr>
        <w:pStyle w:val="BodyTextFirstIndent"/>
        <w:ind w:right="0"/>
      </w:pPr>
      <w:r>
        <w:rPr>
          <w:rFonts w:cs="Arial"/>
        </w:rPr>
        <w:t>“</w:t>
      </w:r>
      <w:r>
        <w:rPr>
          <w:rFonts w:cs="Arial"/>
          <w:u w:val="single"/>
        </w:rPr>
        <w:t>AGC Set-Point</w:t>
      </w:r>
      <w:r>
        <w:rPr>
          <w:rFonts w:cs="Arial"/>
        </w:rPr>
        <w:t xml:space="preserve">” means the Company-generated analog or digital signal sent by the SCADA System to the Facility, representing the </w:t>
      </w:r>
      <w:r>
        <w:rPr>
          <w:rFonts w:cs="Arial"/>
          <w:lang w:val="en-US"/>
        </w:rPr>
        <w:t>quantity of</w:t>
      </w:r>
      <w:r>
        <w:rPr>
          <w:rFonts w:cs="Arial"/>
        </w:rPr>
        <w:t xml:space="preserve"> Energy to be </w:t>
      </w:r>
      <w:r>
        <w:rPr>
          <w:rFonts w:cs="Arial"/>
          <w:lang w:val="en-US"/>
        </w:rPr>
        <w:t>stored by the Battery Storage System</w:t>
      </w:r>
      <w:r>
        <w:rPr>
          <w:rFonts w:cs="Arial"/>
        </w:rPr>
        <w:t xml:space="preserve">.  </w:t>
      </w:r>
      <w:r>
        <w:t>The AGC Set-Point is calculated by the EMCC AGC system and communicated electronically to the Facility via the SCADA System.</w:t>
      </w:r>
    </w:p>
    <w:p w:rsidR="0079779A" w:rsidRDefault="003E5439" w14:paraId="505226E9" w14:textId="77777777">
      <w:pPr>
        <w:pStyle w:val="BodyTextFirstIndent"/>
        <w:rPr>
          <w:rFonts w:cs="Arial"/>
          <w:lang w:val="en-US"/>
        </w:rPr>
      </w:pPr>
      <w:r>
        <w:rPr>
          <w:rFonts w:cs="Arial"/>
          <w:lang w:val="en-US"/>
        </w:rPr>
        <w:t>[“</w:t>
      </w:r>
      <w:r>
        <w:rPr>
          <w:rFonts w:cs="Arial"/>
          <w:u w:val="single"/>
          <w:lang w:val="en-US"/>
        </w:rPr>
        <w:t>Annual Throughput Limit</w:t>
      </w:r>
      <w:r>
        <w:rPr>
          <w:rFonts w:cs="Arial"/>
          <w:lang w:val="en-US"/>
        </w:rPr>
        <w:t xml:space="preserve">” means [_____] MWh.] </w:t>
      </w:r>
      <w:r>
        <w:rPr>
          <w:b/>
          <w:i/>
        </w:rPr>
        <w:t>bid-</w:t>
      </w:r>
      <w:proofErr w:type="gramStart"/>
      <w:r>
        <w:rPr>
          <w:b/>
          <w:i/>
        </w:rPr>
        <w:t>specific  --</w:t>
      </w:r>
      <w:proofErr w:type="gramEnd"/>
      <w:r>
        <w:rPr>
          <w:b/>
          <w:i/>
        </w:rPr>
        <w:t xml:space="preserve">  may be n/a</w:t>
      </w:r>
      <w:r>
        <w:rPr>
          <w:i/>
        </w:rPr>
        <w:t xml:space="preserve"> </w:t>
      </w:r>
      <w:r>
        <w:t xml:space="preserve"> </w:t>
      </w:r>
    </w:p>
    <w:p w:rsidR="0079779A" w:rsidRDefault="003E5439" w14:paraId="7AAB92DB" w14:textId="77777777">
      <w:pPr>
        <w:pStyle w:val="BodyTextFirstIndent"/>
        <w:ind w:right="0"/>
        <w:rPr>
          <w:rFonts w:cs="Arial"/>
        </w:rPr>
      </w:pPr>
      <w:r>
        <w:rPr>
          <w:rFonts w:cs="Arial"/>
        </w:rPr>
        <w:t>“</w:t>
      </w:r>
      <w:r>
        <w:rPr>
          <w:rFonts w:cs="Arial"/>
          <w:u w:val="single"/>
        </w:rPr>
        <w:t>Applicable Law</w:t>
      </w:r>
      <w:r>
        <w:rPr>
          <w:rFonts w:cs="Arial"/>
        </w:rPr>
        <w:t xml:space="preserve">” means all laws, statutes, treaties, codes, ordinances, regulations, </w:t>
      </w:r>
      <w:r>
        <w:rPr>
          <w:rFonts w:cs="Arial"/>
          <w:lang w:val="en-US"/>
        </w:rPr>
        <w:t xml:space="preserve">standards, </w:t>
      </w:r>
      <w:r>
        <w:rPr>
          <w:rFonts w:cs="Arial"/>
        </w:rPr>
        <w:t>certificates, orders, licenses and permits of any Governmental Authority that are applicable to a Party, the business of a Party or the Facility, now in effect or hereafter enacted, including amendments to or interpretations of any of the foregoing by a Governmental Authority having jurisdiction, and all applicable judicial, administrative, arbitration and regulatory decrees, judgments, injunctions, writs, orders, awards and/or like actions</w:t>
      </w:r>
      <w:r>
        <w:rPr>
          <w:rFonts w:cs="Arial"/>
          <w:lang w:val="en-US"/>
        </w:rPr>
        <w:t>, including, for the avoidance of doubt, electrical, building, fire, zoning, environmental, and occupational health and safety requirements</w:t>
      </w:r>
      <w:r>
        <w:rPr>
          <w:rFonts w:cs="Arial"/>
        </w:rPr>
        <w:t>.</w:t>
      </w:r>
    </w:p>
    <w:p w:rsidR="0079779A" w:rsidRDefault="003E5439" w14:paraId="232DD013" w14:textId="77777777">
      <w:pPr>
        <w:pStyle w:val="BodyTextFirstIndent"/>
        <w:ind w:right="0"/>
        <w:rPr>
          <w:rFonts w:cs="Arial"/>
          <w:lang w:val="en-US"/>
        </w:rPr>
      </w:pPr>
      <w:r>
        <w:rPr>
          <w:rFonts w:cs="Arial"/>
        </w:rPr>
        <w:t>“</w:t>
      </w:r>
      <w:r>
        <w:rPr>
          <w:rFonts w:cs="Arial"/>
          <w:u w:val="single"/>
        </w:rPr>
        <w:t>Arbitration Service</w:t>
      </w:r>
      <w:r>
        <w:rPr>
          <w:rFonts w:cs="Arial"/>
        </w:rPr>
        <w:t>” means</w:t>
      </w:r>
      <w:r>
        <w:rPr>
          <w:rFonts w:cs="Arial"/>
          <w:lang w:val="en-US"/>
        </w:rPr>
        <w:t xml:space="preserve"> </w:t>
      </w:r>
      <w:r>
        <w:rPr>
          <w:rFonts w:cs="Arial"/>
        </w:rPr>
        <w:t>Judicial Arbitration and Mediation Services, Inc.</w:t>
      </w:r>
      <w:r>
        <w:rPr>
          <w:rFonts w:cs="Arial"/>
          <w:lang w:val="en-US"/>
        </w:rPr>
        <w:t xml:space="preserve"> (</w:t>
      </w:r>
      <w:proofErr w:type="gramStart"/>
      <w:r>
        <w:rPr>
          <w:rFonts w:cs="Arial"/>
          <w:lang w:val="en-US"/>
        </w:rPr>
        <w:t>aka</w:t>
      </w:r>
      <w:proofErr w:type="gramEnd"/>
      <w:r>
        <w:rPr>
          <w:rFonts w:cs="Arial"/>
          <w:lang w:val="en-US"/>
        </w:rPr>
        <w:t xml:space="preserve"> JAMS).</w:t>
      </w:r>
    </w:p>
    <w:p w:rsidR="0079779A" w:rsidRDefault="003E5439" w14:paraId="2F942DC3" w14:textId="77777777">
      <w:pPr>
        <w:pStyle w:val="BodyTextFirstIndent"/>
        <w:ind w:right="0"/>
        <w:rPr>
          <w:rFonts w:cs="Arial"/>
        </w:rPr>
      </w:pPr>
      <w:r>
        <w:rPr>
          <w:rFonts w:cs="Arial"/>
        </w:rPr>
        <w:lastRenderedPageBreak/>
        <w:t>“</w:t>
      </w:r>
      <w:r>
        <w:rPr>
          <w:rFonts w:cs="Arial"/>
          <w:u w:val="single"/>
        </w:rPr>
        <w:t>Availability</w:t>
      </w:r>
      <w:r>
        <w:rPr>
          <w:rFonts w:cs="Arial"/>
        </w:rPr>
        <w:t xml:space="preserve">” </w:t>
      </w:r>
      <w:r>
        <w:rPr>
          <w:rFonts w:cs="Arial"/>
          <w:lang w:val="en-US"/>
        </w:rPr>
        <w:t xml:space="preserve">shall have the meaning set forth in </w:t>
      </w:r>
      <w:r>
        <w:rPr>
          <w:u w:val="single"/>
        </w:rPr>
        <w:t xml:space="preserve">Exhibit M – </w:t>
      </w:r>
      <w:r>
        <w:rPr>
          <w:u w:val="single"/>
          <w:lang w:val="en-US"/>
        </w:rPr>
        <w:t xml:space="preserve">Battery Storage System </w:t>
      </w:r>
      <w:r>
        <w:rPr>
          <w:u w:val="single"/>
        </w:rPr>
        <w:t>Testing Protocols</w:t>
      </w:r>
      <w:r>
        <w:rPr>
          <w:rFonts w:cs="Arial"/>
          <w:lang w:val="en-US"/>
        </w:rPr>
        <w:t>.</w:t>
      </w:r>
    </w:p>
    <w:p w:rsidR="0079779A" w:rsidRDefault="003E5439" w14:paraId="62AC68E8" w14:textId="77777777">
      <w:pPr>
        <w:pStyle w:val="BodyTextFirstIndent"/>
        <w:ind w:right="0"/>
      </w:pPr>
      <w:r>
        <w:t>“</w:t>
      </w:r>
      <w:r>
        <w:rPr>
          <w:u w:val="single"/>
        </w:rPr>
        <w:t>Availability Notice</w:t>
      </w:r>
      <w:r>
        <w:t xml:space="preserve">” </w:t>
      </w:r>
      <w:r>
        <w:rPr>
          <w:lang w:val="en-US"/>
        </w:rPr>
        <w:t xml:space="preserve">shall have </w:t>
      </w:r>
      <w:r>
        <w:t xml:space="preserve">the meaning set forth in </w:t>
      </w:r>
      <w:r>
        <w:rPr>
          <w:u w:val="single"/>
        </w:rPr>
        <w:t>Section 7.</w:t>
      </w:r>
      <w:r>
        <w:rPr>
          <w:u w:val="single"/>
          <w:lang w:val="en-US"/>
        </w:rPr>
        <w:t>3(B)</w:t>
      </w:r>
      <w:r>
        <w:t>.</w:t>
      </w:r>
    </w:p>
    <w:p w:rsidR="0079779A" w:rsidRDefault="003E5439" w14:paraId="0B4168AC" w14:textId="77777777">
      <w:pPr>
        <w:pStyle w:val="BodyTextFirstIndent"/>
        <w:ind w:right="0"/>
        <w:rPr>
          <w:rFonts w:cs="Arial"/>
        </w:rPr>
      </w:pPr>
      <w:r>
        <w:rPr>
          <w:rFonts w:cs="Arial"/>
        </w:rPr>
        <w:t>“</w:t>
      </w:r>
      <w:r>
        <w:rPr>
          <w:rFonts w:cs="Arial"/>
          <w:u w:val="single"/>
        </w:rPr>
        <w:t>Back-Up Metering</w:t>
      </w:r>
      <w:r>
        <w:rPr>
          <w:rFonts w:cs="Arial"/>
        </w:rPr>
        <w:t xml:space="preserve">” shall have the meaning set forth in </w:t>
      </w:r>
      <w:r>
        <w:rPr>
          <w:rFonts w:cs="Arial"/>
          <w:u w:val="single"/>
        </w:rPr>
        <w:t>Section 5.</w:t>
      </w:r>
      <w:r>
        <w:rPr>
          <w:rFonts w:cs="Arial"/>
          <w:u w:val="single"/>
          <w:lang w:val="en-US"/>
        </w:rPr>
        <w:t>5</w:t>
      </w:r>
      <w:r>
        <w:rPr>
          <w:rFonts w:cs="Arial"/>
          <w:u w:val="single"/>
        </w:rPr>
        <w:t>(B)</w:t>
      </w:r>
      <w:r>
        <w:rPr>
          <w:rFonts w:cs="Arial"/>
        </w:rPr>
        <w:t>.</w:t>
      </w:r>
    </w:p>
    <w:p w:rsidR="0079779A" w:rsidRDefault="003E5439" w14:paraId="67594089" w14:textId="77777777">
      <w:pPr>
        <w:pStyle w:val="BodyTextFirstIndent"/>
        <w:ind w:right="0"/>
        <w:rPr>
          <w:lang w:val="en-US"/>
        </w:rPr>
      </w:pPr>
      <w:r>
        <w:t>“</w:t>
      </w:r>
      <w:r>
        <w:rPr>
          <w:u w:val="single"/>
        </w:rPr>
        <w:t>Balancing Authority</w:t>
      </w:r>
      <w:r>
        <w:t>” means the system of electrical generation, distribution and transmission facilities within which generation is regulated in order to maintain interchange schedules with other such systems.</w:t>
      </w:r>
    </w:p>
    <w:p w:rsidR="0079779A" w:rsidRDefault="003E5439" w14:paraId="660DAE7F" w14:textId="77777777">
      <w:pPr>
        <w:pStyle w:val="BodyText"/>
        <w:ind w:firstLine="720"/>
      </w:pPr>
      <w:r>
        <w:rPr>
          <w:lang w:val="en-US"/>
        </w:rPr>
        <w:t>“</w:t>
      </w:r>
      <w:r>
        <w:rPr>
          <w:u w:val="single"/>
          <w:lang w:val="en-US"/>
        </w:rPr>
        <w:t>Battery Payment Rate</w:t>
      </w:r>
      <w:r>
        <w:rPr>
          <w:lang w:val="en-US"/>
        </w:rPr>
        <w:t xml:space="preserve">” is as </w:t>
      </w:r>
      <w:r>
        <w:t xml:space="preserve">set forth on </w:t>
      </w:r>
      <w:r>
        <w:rPr>
          <w:u w:val="single"/>
        </w:rPr>
        <w:t>Exhibit J</w:t>
      </w:r>
      <w:r>
        <w:rPr>
          <w:u w:val="single"/>
          <w:lang w:val="en-US"/>
        </w:rPr>
        <w:t xml:space="preserve"> – Battery Payment Rate and Capacity Payment Rate</w:t>
      </w:r>
      <w:r>
        <w:rPr>
          <w:lang w:val="en-US"/>
        </w:rPr>
        <w:t xml:space="preserve">.  </w:t>
      </w:r>
    </w:p>
    <w:p w:rsidR="0079779A" w:rsidRDefault="003E5439" w14:paraId="35EC191A" w14:textId="77777777">
      <w:pPr>
        <w:pStyle w:val="BodyTextFirstIndent"/>
        <w:ind w:right="0"/>
        <w:rPr>
          <w:lang w:val="en-US"/>
        </w:rPr>
      </w:pPr>
      <w:r>
        <w:rPr>
          <w:lang w:val="en-US"/>
        </w:rPr>
        <w:t xml:space="preserve"> “</w:t>
      </w:r>
      <w:r>
        <w:rPr>
          <w:u w:val="single"/>
          <w:lang w:val="en-US"/>
        </w:rPr>
        <w:t>Battery Storage System</w:t>
      </w:r>
      <w:r>
        <w:rPr>
          <w:lang w:val="en-US"/>
        </w:rPr>
        <w:t xml:space="preserve">” means </w:t>
      </w:r>
      <w:r>
        <w:rPr>
          <w:rFonts w:cs="Arial"/>
          <w:lang w:val="en-US"/>
        </w:rPr>
        <w:t xml:space="preserve">that portion of the Facility that is required to store energy using the Battery Units, including, without limitation, </w:t>
      </w:r>
      <w:r>
        <w:t>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and delivery of the</w:t>
      </w:r>
      <w:r>
        <w:rPr>
          <w:rFonts w:cs="Arial"/>
        </w:rPr>
        <w:t xml:space="preserve"> </w:t>
      </w:r>
      <w:r>
        <w:rPr>
          <w:rFonts w:cs="Arial"/>
          <w:lang w:val="en-US"/>
        </w:rPr>
        <w:t>foregoing</w:t>
      </w:r>
      <w:r>
        <w:rPr>
          <w:lang w:val="en-US"/>
        </w:rPr>
        <w:t>.</w:t>
      </w:r>
    </w:p>
    <w:p w:rsidR="0079779A" w:rsidRDefault="003E5439" w14:paraId="3D8BC18E" w14:textId="77777777">
      <w:pPr>
        <w:pStyle w:val="BodyTextFirstIndent"/>
        <w:ind w:right="0"/>
      </w:pPr>
      <w:r>
        <w:t>“</w:t>
      </w:r>
      <w:r>
        <w:rPr>
          <w:u w:val="single"/>
          <w:lang w:val="en-US"/>
        </w:rPr>
        <w:t xml:space="preserve">Battery Storage System </w:t>
      </w:r>
      <w:r>
        <w:rPr>
          <w:u w:val="single"/>
        </w:rPr>
        <w:t>Forced Outage</w:t>
      </w:r>
      <w:r>
        <w:t xml:space="preserve">” means any </w:t>
      </w:r>
      <w:r>
        <w:rPr>
          <w:lang w:val="en-US"/>
        </w:rPr>
        <w:t>Outage of the Battery Storage System</w:t>
      </w:r>
      <w:r>
        <w:t xml:space="preserve"> that</w:t>
      </w:r>
      <w:r>
        <w:rPr>
          <w:lang w:val="en-US"/>
        </w:rPr>
        <w:t xml:space="preserve"> is not an Excused Outage</w:t>
      </w:r>
      <w:r>
        <w:t>.</w:t>
      </w:r>
    </w:p>
    <w:p w:rsidR="0079779A" w:rsidRDefault="003E5439" w14:paraId="358D2686" w14:textId="77777777">
      <w:pPr>
        <w:pStyle w:val="BodyTextFirstIndent"/>
        <w:ind w:right="0"/>
        <w:rPr>
          <w:rFonts w:cs="Arial"/>
        </w:rPr>
      </w:pPr>
      <w:r>
        <w:rPr>
          <w:lang w:val="en-US"/>
        </w:rPr>
        <w:t>“</w:t>
      </w:r>
      <w:r>
        <w:rPr>
          <w:u w:val="single"/>
          <w:lang w:val="en-US"/>
        </w:rPr>
        <w:t>Battery Storage System Nameplate Capacity</w:t>
      </w:r>
      <w:r>
        <w:rPr>
          <w:lang w:val="en-US"/>
        </w:rPr>
        <w:t xml:space="preserve">” means </w:t>
      </w:r>
      <w:r>
        <w:rPr>
          <w:rFonts w:cs="Arial"/>
          <w:lang w:val="en-US"/>
        </w:rPr>
        <w:t xml:space="preserve">the </w:t>
      </w:r>
      <w:r>
        <w:rPr>
          <w:rFonts w:cs="Arial"/>
        </w:rPr>
        <w:t xml:space="preserve">designed </w:t>
      </w:r>
      <w:r>
        <w:rPr>
          <w:rFonts w:cs="Arial"/>
          <w:lang w:val="en-US"/>
        </w:rPr>
        <w:t xml:space="preserve">maximum capacity of the Battery Storage System expressed in MWs and calculated by dividing the MWhs of energy the Battery Storage System is designed to store, divided by the number of hours the Battery Storage System is designed to discharge at full output, </w:t>
      </w:r>
      <w:r>
        <w:rPr>
          <w:rFonts w:cs="Arial"/>
        </w:rPr>
        <w:t>as designated by the manufacturer</w:t>
      </w:r>
      <w:r>
        <w:rPr>
          <w:rFonts w:cs="Arial"/>
          <w:lang w:val="en-US"/>
        </w:rPr>
        <w:t xml:space="preserve">, as measured at the Interconnection Point, as set forth in </w:t>
      </w:r>
      <w:r>
        <w:rPr>
          <w:rFonts w:cs="Arial"/>
          <w:u w:val="single"/>
          <w:lang w:val="en-US"/>
        </w:rPr>
        <w:t>Section 3.2</w:t>
      </w:r>
      <w:r>
        <w:rPr>
          <w:rFonts w:cs="Arial"/>
        </w:rPr>
        <w:t>.</w:t>
      </w:r>
    </w:p>
    <w:p w:rsidR="0079779A" w:rsidRDefault="003E5439" w14:paraId="030BB687" w14:textId="77777777">
      <w:pPr>
        <w:pStyle w:val="BodyTextFirstIndent"/>
        <w:ind w:right="0"/>
      </w:pPr>
      <w:r>
        <w:t>“</w:t>
      </w:r>
      <w:r>
        <w:rPr>
          <w:u w:val="single"/>
          <w:lang w:val="en-US"/>
        </w:rPr>
        <w:t xml:space="preserve">Battery Storage System </w:t>
      </w:r>
      <w:r>
        <w:rPr>
          <w:u w:val="single"/>
        </w:rPr>
        <w:t>Operating Procedures</w:t>
      </w:r>
      <w:r>
        <w:t xml:space="preserve">” means those procedures </w:t>
      </w:r>
      <w:r>
        <w:rPr>
          <w:lang w:val="en-US"/>
        </w:rPr>
        <w:t xml:space="preserve">applicable to the operation of the Battery Storage System, as developed by the Operating Committee in accordance with the procedure, and subject to the requirements, set forth in </w:t>
      </w:r>
      <w:r>
        <w:rPr>
          <w:u w:val="single"/>
          <w:lang w:val="en-US"/>
        </w:rPr>
        <w:t>Exhibit O – Battery Storage System Operating Procedures</w:t>
      </w:r>
      <w:r>
        <w:t>.</w:t>
      </w:r>
    </w:p>
    <w:p w:rsidR="0079779A" w:rsidRDefault="003E5439" w14:paraId="73661655" w14:textId="77777777">
      <w:pPr>
        <w:spacing w:after="240"/>
        <w:ind w:firstLine="720"/>
        <w:jc w:val="both"/>
        <w:rPr>
          <w:rFonts w:cs="Arial"/>
        </w:rPr>
      </w:pPr>
      <w:r>
        <w:rPr>
          <w:rFonts w:cs="Arial"/>
        </w:rPr>
        <w:t>“</w:t>
      </w:r>
      <w:r>
        <w:rPr>
          <w:rFonts w:cs="Arial"/>
          <w:u w:val="single"/>
        </w:rPr>
        <w:t>Battery Storage System Planned Outage</w:t>
      </w:r>
      <w:r>
        <w:rPr>
          <w:rFonts w:cs="Arial"/>
        </w:rPr>
        <w:t xml:space="preserve">” means a planned removal from service of the Battery Storage System, or some part thereof constituting not less than ten percent (10%) of the Battery Storage System Nameplate Capacity, that is required for inspection, or routine, </w:t>
      </w:r>
      <w:proofErr w:type="gramStart"/>
      <w:r>
        <w:rPr>
          <w:rFonts w:cs="Arial"/>
        </w:rPr>
        <w:t>preventive</w:t>
      </w:r>
      <w:proofErr w:type="gramEnd"/>
      <w:r>
        <w:rPr>
          <w:rFonts w:cs="Arial"/>
        </w:rPr>
        <w:t xml:space="preserve"> or corrective maintenance; provided that Battery Storage System Planned Outages during any Commercial Operation Year may not exceed ninety-six (96) hours.</w:t>
      </w:r>
    </w:p>
    <w:p w:rsidR="0079779A" w:rsidRDefault="003E5439" w14:paraId="2E73AB0D" w14:textId="77777777">
      <w:pPr>
        <w:pStyle w:val="BodyTextFirstIndent"/>
        <w:ind w:right="0"/>
        <w:rPr>
          <w:lang w:val="en-US"/>
        </w:rPr>
      </w:pPr>
      <w:r>
        <w:rPr>
          <w:lang w:val="en-US"/>
        </w:rPr>
        <w:t>“</w:t>
      </w:r>
      <w:r>
        <w:rPr>
          <w:u w:val="single"/>
          <w:lang w:val="en-US"/>
        </w:rPr>
        <w:t>Battery Units</w:t>
      </w:r>
      <w:r>
        <w:rPr>
          <w:lang w:val="en-US"/>
        </w:rPr>
        <w:t xml:space="preserve">” means the batteries, power electronic systems, </w:t>
      </w:r>
      <w:proofErr w:type="gramStart"/>
      <w:r>
        <w:rPr>
          <w:lang w:val="en-US"/>
        </w:rPr>
        <w:t>enclosures</w:t>
      </w:r>
      <w:proofErr w:type="gramEnd"/>
      <w:r>
        <w:rPr>
          <w:lang w:val="en-US"/>
        </w:rPr>
        <w:t xml:space="preserve"> and other equipment necessary for the Battery Storage System to store electricity at the Site and transmit such electricity upon command.  </w:t>
      </w:r>
      <w:r>
        <w:rPr>
          <w:rFonts w:cs="Arial"/>
        </w:rPr>
        <w:t xml:space="preserve">The manufacturer and model number of </w:t>
      </w:r>
      <w:r>
        <w:rPr>
          <w:lang w:val="en-US"/>
        </w:rPr>
        <w:t xml:space="preserve">the Battery Units will be identified on </w:t>
      </w:r>
      <w:r>
        <w:rPr>
          <w:rFonts w:cs="Arial"/>
          <w:u w:val="single"/>
        </w:rPr>
        <w:t xml:space="preserve">Exhibit C – </w:t>
      </w:r>
      <w:r>
        <w:rPr>
          <w:u w:val="single"/>
        </w:rPr>
        <w:t>Facility Description and Site Maps</w:t>
      </w:r>
      <w:r>
        <w:rPr>
          <w:rFonts w:cs="Arial"/>
          <w:lang w:val="en-US"/>
        </w:rPr>
        <w:t xml:space="preserve">.  </w:t>
      </w:r>
    </w:p>
    <w:p w:rsidR="0079779A" w:rsidRDefault="003E5439" w14:paraId="2675D8FB" w14:textId="77777777">
      <w:pPr>
        <w:pStyle w:val="BodyTextFirstIndent"/>
        <w:ind w:right="0"/>
      </w:pPr>
      <w:r>
        <w:rPr>
          <w:rFonts w:cs="Arial"/>
        </w:rPr>
        <w:lastRenderedPageBreak/>
        <w:t>“</w:t>
      </w:r>
      <w:r>
        <w:rPr>
          <w:rFonts w:cs="Arial"/>
          <w:u w:val="single"/>
        </w:rPr>
        <w:t>Business Day</w:t>
      </w:r>
      <w:r>
        <w:t>” means any Day that is not a Saturday, a Sunday, or a NERC recognized holiday.</w:t>
      </w:r>
    </w:p>
    <w:p w:rsidR="0079779A" w:rsidRDefault="003E5439" w14:paraId="1211E50F" w14:textId="77777777">
      <w:pPr>
        <w:pStyle w:val="BodyTextFirstIndent"/>
        <w:ind w:right="0"/>
      </w:pPr>
      <w:r>
        <w:t>“</w:t>
      </w:r>
      <w:r>
        <w:rPr>
          <w:u w:val="single"/>
          <w:lang w:val="en-US"/>
        </w:rPr>
        <w:t xml:space="preserve">Capacity </w:t>
      </w:r>
      <w:r>
        <w:rPr>
          <w:u w:val="single"/>
        </w:rPr>
        <w:t>Payment Rate</w:t>
      </w:r>
      <w:r>
        <w:t xml:space="preserve">” shall have the meaning set forth in </w:t>
      </w:r>
      <w:r>
        <w:rPr>
          <w:u w:val="single"/>
        </w:rPr>
        <w:t>Exhibit J</w:t>
      </w:r>
      <w:r>
        <w:rPr>
          <w:u w:val="single"/>
          <w:lang w:val="en-US"/>
        </w:rPr>
        <w:t xml:space="preserve"> – Battery Payment Rate and Capacity Payment Rate</w:t>
      </w:r>
    </w:p>
    <w:p w:rsidR="0079779A" w:rsidRDefault="003E5439" w14:paraId="538D3C0D" w14:textId="77777777">
      <w:pPr>
        <w:pStyle w:val="BodyTextFirstIndent"/>
        <w:spacing w:after="160"/>
        <w:ind w:right="0"/>
      </w:pPr>
      <w:r>
        <w:t>“</w:t>
      </w:r>
      <w:r>
        <w:rPr>
          <w:u w:val="single"/>
        </w:rPr>
        <w:t>Change of Control</w:t>
      </w:r>
      <w:r>
        <w:t xml:space="preserve">” means the occurrence of any one of the following events with respect to Seller or any direct or indirect owner of a majority of the ownership interests in Seller: (a) a transfer of a majority of the ownership interests in Seller or such owner; (b) any consolidation or merger of Seller or such owner in which Seller or such owner, as the case may be, is not the continuing or surviving entity; or (c) a sale or conveyance of any direct or indirect ownership interest in Seller following which </w:t>
      </w:r>
      <w:r>
        <w:rPr>
          <w:highlight w:val="yellow"/>
        </w:rPr>
        <w:t>[</w:t>
      </w:r>
      <w:r>
        <w:rPr>
          <w:highlight w:val="yellow"/>
          <w:lang w:val="en-US"/>
        </w:rPr>
        <w:t>______________________</w:t>
      </w:r>
      <w:r>
        <w:rPr>
          <w:highlight w:val="yellow"/>
        </w:rPr>
        <w:t>]</w:t>
      </w:r>
      <w:r>
        <w:t xml:space="preserve"> </w:t>
      </w:r>
      <w:r>
        <w:rPr>
          <w:lang w:val="en-US"/>
        </w:rPr>
        <w:t>(“Ultimate Parent”) is</w:t>
      </w:r>
      <w:r>
        <w:t xml:space="preserve"> no longer the direct or indirect owner of at least 50% of the ownership interests of Seller, </w:t>
      </w:r>
      <w:r>
        <w:rPr>
          <w:i/>
        </w:rPr>
        <w:t>provided, however</w:t>
      </w:r>
      <w:r>
        <w:t xml:space="preserve">, that a Change of Control shall </w:t>
      </w:r>
      <w:r>
        <w:rPr>
          <w:u w:val="single"/>
        </w:rPr>
        <w:t>not</w:t>
      </w:r>
      <w:r>
        <w:t xml:space="preserve"> be deemed to have occurred as a result of</w:t>
      </w:r>
      <w:r>
        <w:rPr>
          <w:lang w:val="en-US"/>
        </w:rPr>
        <w:t>:</w:t>
      </w:r>
      <w:r>
        <w:t xml:space="preserve"> </w:t>
      </w:r>
    </w:p>
    <w:p w:rsidR="0079779A" w:rsidRDefault="003E5439" w14:paraId="6C45A320" w14:textId="77777777">
      <w:pPr>
        <w:pStyle w:val="BodyTextFirstIndent"/>
        <w:numPr>
          <w:ilvl w:val="0"/>
          <w:numId w:val="35"/>
        </w:numPr>
        <w:spacing w:after="160"/>
        <w:ind w:right="0"/>
      </w:pPr>
      <w:r>
        <w:t>transactions exclusively among Affiliates of Seller</w:t>
      </w:r>
      <w:r>
        <w:rPr>
          <w:lang w:val="en-US"/>
        </w:rPr>
        <w:t>;</w:t>
      </w:r>
      <w:r>
        <w:t xml:space="preserve"> </w:t>
      </w:r>
    </w:p>
    <w:p w:rsidR="0079779A" w:rsidRDefault="003E5439" w14:paraId="468FEBC0" w14:textId="77777777">
      <w:pPr>
        <w:pStyle w:val="BodyTextFirstIndent"/>
        <w:numPr>
          <w:ilvl w:val="0"/>
          <w:numId w:val="35"/>
        </w:numPr>
        <w:spacing w:after="160"/>
        <w:ind w:right="0"/>
      </w:pPr>
      <w:r>
        <w:t>any exercise by the Facility Lender of its rights and remedies under the Financing Documents</w:t>
      </w:r>
      <w:r>
        <w:rPr>
          <w:lang w:val="en-US"/>
        </w:rPr>
        <w:t>;</w:t>
      </w:r>
    </w:p>
    <w:p w:rsidR="0079779A" w:rsidRDefault="003E5439" w14:paraId="1A53F899" w14:textId="77777777">
      <w:pPr>
        <w:pStyle w:val="BodyTextFirstIndent"/>
        <w:numPr>
          <w:ilvl w:val="0"/>
          <w:numId w:val="35"/>
        </w:numPr>
        <w:spacing w:after="160"/>
        <w:ind w:right="0"/>
      </w:pPr>
      <w:r>
        <w:t>a change of control of Ultimate Parent</w:t>
      </w:r>
      <w:r>
        <w:rPr>
          <w:lang w:val="en-US"/>
        </w:rPr>
        <w:t>;</w:t>
      </w:r>
      <w:r>
        <w:t xml:space="preserve"> or</w:t>
      </w:r>
    </w:p>
    <w:p w:rsidR="0079779A" w:rsidRDefault="003E5439" w14:paraId="2274C2E0" w14:textId="77777777">
      <w:pPr>
        <w:pStyle w:val="BodyTextFirstIndent"/>
        <w:numPr>
          <w:ilvl w:val="0"/>
          <w:numId w:val="35"/>
        </w:numPr>
        <w:ind w:right="0"/>
      </w:pPr>
      <w:r>
        <w:t xml:space="preserve">any change of economic and/or voting rights triggered in Seller’s organizational documents arising from </w:t>
      </w:r>
      <w:r>
        <w:rPr>
          <w:lang w:val="en-US"/>
        </w:rPr>
        <w:t>a tax-equity</w:t>
      </w:r>
      <w:r>
        <w:t xml:space="preserve"> financing of the Facility.</w:t>
      </w:r>
    </w:p>
    <w:p w:rsidR="0079779A" w:rsidP="00BA6F11" w:rsidRDefault="003E5439" w14:paraId="7464D52D" w14:textId="77777777">
      <w:pPr>
        <w:pStyle w:val="BodyTextFirstIndent"/>
        <w:ind w:right="0"/>
      </w:pPr>
      <w:r>
        <w:t>“</w:t>
      </w:r>
      <w:r>
        <w:rPr>
          <w:u w:val="single"/>
        </w:rPr>
        <w:t>Charging Energy</w:t>
      </w:r>
      <w:r>
        <w:t xml:space="preserve">” means </w:t>
      </w:r>
      <w:r>
        <w:rPr>
          <w:lang w:val="en-US"/>
        </w:rPr>
        <w:t xml:space="preserve">energy </w:t>
      </w:r>
      <w:r>
        <w:t xml:space="preserve">withdrawn from the </w:t>
      </w:r>
      <w:r>
        <w:rPr>
          <w:lang w:val="en-US"/>
        </w:rPr>
        <w:t xml:space="preserve">Transmission Authority’s </w:t>
      </w:r>
      <w:r>
        <w:t xml:space="preserve">electrical system </w:t>
      </w:r>
      <w:r>
        <w:rPr>
          <w:lang w:val="en-US"/>
        </w:rPr>
        <w:t>and delivered at the Point of Delivery used to charge</w:t>
      </w:r>
      <w:r>
        <w:t xml:space="preserve"> the Battery Storage System</w:t>
      </w:r>
      <w:r>
        <w:rPr>
          <w:lang w:val="en-US"/>
        </w:rPr>
        <w:t xml:space="preserve"> </w:t>
      </w:r>
      <w:r>
        <w:t>and discharged at a later time</w:t>
      </w:r>
      <w:r>
        <w:rPr>
          <w:lang w:val="en-US"/>
        </w:rPr>
        <w:t>.</w:t>
      </w:r>
    </w:p>
    <w:p w:rsidR="0079779A" w:rsidRDefault="003E5439" w14:paraId="5B531C54" w14:textId="77777777">
      <w:pPr>
        <w:pStyle w:val="BodyTextFirstIndent"/>
        <w:ind w:right="0"/>
        <w:rPr>
          <w:lang w:val="en-US"/>
        </w:rPr>
      </w:pPr>
      <w:r>
        <w:rPr>
          <w:lang w:val="en-US"/>
        </w:rPr>
        <w:t>“</w:t>
      </w:r>
      <w:r>
        <w:rPr>
          <w:u w:val="single"/>
          <w:lang w:val="en-US"/>
        </w:rPr>
        <w:t>Charging Energy Price</w:t>
      </w:r>
      <w:r>
        <w:rPr>
          <w:lang w:val="en-US"/>
        </w:rPr>
        <w:t xml:space="preserve">” means, if Company has joined a regional transmission organization or is participating in an organized market for which nodal prices can be determined, </w:t>
      </w:r>
      <w:r w:rsidR="00E313AB">
        <w:rPr>
          <w:lang w:val="en-US"/>
        </w:rPr>
        <w:t xml:space="preserve">then </w:t>
      </w:r>
      <w:r>
        <w:rPr>
          <w:lang w:val="en-US"/>
        </w:rPr>
        <w:t xml:space="preserve">the applicable nodal price per MWh </w:t>
      </w:r>
      <w:r w:rsidR="00B43240">
        <w:rPr>
          <w:lang w:val="en-US"/>
        </w:rPr>
        <w:t xml:space="preserve">in the day-ahead market </w:t>
      </w:r>
      <w:r>
        <w:rPr>
          <w:lang w:val="en-US"/>
        </w:rPr>
        <w:t>as determined by Company in its sole discretion, or</w:t>
      </w:r>
      <w:r w:rsidR="00E313AB">
        <w:rPr>
          <w:lang w:val="en-US"/>
        </w:rPr>
        <w:t>, if not, then</w:t>
      </w:r>
      <w:r>
        <w:rPr>
          <w:lang w:val="en-US"/>
        </w:rPr>
        <w:t xml:space="preserve"> the applicable price per MWh as determined by Company in its sole discretion pursuant to its cost calculator. </w:t>
      </w:r>
    </w:p>
    <w:p w:rsidR="0079779A" w:rsidRDefault="003E5439" w14:paraId="1E729B75" w14:textId="77777777">
      <w:pPr>
        <w:pStyle w:val="BodyTextFirstIndent"/>
        <w:ind w:right="0"/>
      </w:pPr>
      <w:r>
        <w:t>“</w:t>
      </w:r>
      <w:r>
        <w:rPr>
          <w:u w:val="single"/>
        </w:rPr>
        <w:t>COD Conditions</w:t>
      </w:r>
      <w:r>
        <w:t xml:space="preserve">” means all of the requirements that must be satisfied by Seller as a prerequisite to achieving Commercial Operation.  The COD Conditions are set forth in </w:t>
      </w:r>
      <w:r>
        <w:rPr>
          <w:u w:val="single"/>
        </w:rPr>
        <w:t>Section 4.5</w:t>
      </w:r>
      <w:r>
        <w:t>.</w:t>
      </w:r>
    </w:p>
    <w:p w:rsidR="0079779A" w:rsidRDefault="003E5439" w14:paraId="2DC2A249" w14:textId="77777777">
      <w:pPr>
        <w:pStyle w:val="BodyTextFirstIndent"/>
        <w:ind w:right="0"/>
        <w:rPr>
          <w:lang w:val="en-US"/>
        </w:rPr>
      </w:pPr>
      <w:r>
        <w:rPr>
          <w:lang w:val="en-US"/>
        </w:rPr>
        <w:t>“</w:t>
      </w:r>
      <w:r>
        <w:rPr>
          <w:u w:val="single"/>
          <w:lang w:val="en-US"/>
        </w:rPr>
        <w:t>COD Delay</w:t>
      </w:r>
      <w:r>
        <w:rPr>
          <w:lang w:val="en-US"/>
        </w:rPr>
        <w:t xml:space="preserve">” shall have the meaning set forth in </w:t>
      </w:r>
      <w:r>
        <w:rPr>
          <w:u w:val="single"/>
          <w:lang w:val="en-US"/>
        </w:rPr>
        <w:t>Section 12.2</w:t>
      </w:r>
      <w:r>
        <w:rPr>
          <w:lang w:val="en-US"/>
        </w:rPr>
        <w:t xml:space="preserve">. </w:t>
      </w:r>
    </w:p>
    <w:p w:rsidR="0079779A" w:rsidRDefault="003E5439" w14:paraId="1ED888A3" w14:textId="77777777">
      <w:pPr>
        <w:pStyle w:val="BodyTextFirstIndent"/>
        <w:ind w:right="0"/>
        <w:rPr>
          <w:lang w:val="en-US"/>
        </w:rPr>
      </w:pPr>
      <w:r>
        <w:rPr>
          <w:lang w:val="en-US"/>
        </w:rPr>
        <w:t>“</w:t>
      </w:r>
      <w:r>
        <w:rPr>
          <w:u w:val="single"/>
          <w:lang w:val="en-US"/>
        </w:rPr>
        <w:t>COD Notice</w:t>
      </w:r>
      <w:r>
        <w:rPr>
          <w:lang w:val="en-US"/>
        </w:rPr>
        <w:t xml:space="preserve">” shall have the meaning set forth in </w:t>
      </w:r>
      <w:r>
        <w:rPr>
          <w:u w:val="single"/>
          <w:lang w:val="en-US"/>
        </w:rPr>
        <w:t>Section 4.5</w:t>
      </w:r>
      <w:r>
        <w:rPr>
          <w:lang w:val="en-US"/>
        </w:rPr>
        <w:t>.</w:t>
      </w:r>
    </w:p>
    <w:p w:rsidR="0079779A" w:rsidRDefault="003E5439" w14:paraId="73FE9EF1" w14:textId="77777777">
      <w:pPr>
        <w:pStyle w:val="BodyTextFirstIndent"/>
        <w:ind w:right="0"/>
        <w:rPr>
          <w:rFonts w:cs="Arial"/>
        </w:rPr>
      </w:pPr>
      <w:r>
        <w:t>“</w:t>
      </w:r>
      <w:r>
        <w:rPr>
          <w:rFonts w:cs="Arial"/>
          <w:u w:val="single"/>
        </w:rPr>
        <w:t>Commercial</w:t>
      </w:r>
      <w:r>
        <w:rPr>
          <w:u w:val="single"/>
        </w:rPr>
        <w:t xml:space="preserve"> Operation</w:t>
      </w:r>
      <w:r>
        <w:t xml:space="preserve">” </w:t>
      </w:r>
      <w:r>
        <w:rPr>
          <w:rFonts w:cs="Arial"/>
        </w:rPr>
        <w:t>means</w:t>
      </w:r>
      <w:r>
        <w:t xml:space="preserve"> the period beginning on the Commercial </w:t>
      </w:r>
      <w:r>
        <w:rPr>
          <w:rFonts w:cs="Arial"/>
        </w:rPr>
        <w:t>Operation Date and continuing through the balance of the Term of this PPA.</w:t>
      </w:r>
    </w:p>
    <w:p w:rsidR="0079779A" w:rsidRDefault="003E5439" w14:paraId="0A247991" w14:textId="77777777">
      <w:pPr>
        <w:pStyle w:val="BodyTextFirstIndent"/>
        <w:ind w:right="0"/>
        <w:rPr>
          <w:rFonts w:cs="Arial"/>
        </w:rPr>
      </w:pPr>
      <w:r>
        <w:rPr>
          <w:rFonts w:cs="Arial"/>
        </w:rPr>
        <w:lastRenderedPageBreak/>
        <w:t>“</w:t>
      </w:r>
      <w:r>
        <w:rPr>
          <w:rFonts w:cs="Arial"/>
          <w:u w:val="single"/>
        </w:rPr>
        <w:t>Commercial Operation Date</w:t>
      </w:r>
      <w:r>
        <w:rPr>
          <w:rFonts w:cs="Arial"/>
        </w:rPr>
        <w:t>” or “</w:t>
      </w:r>
      <w:r>
        <w:rPr>
          <w:rFonts w:cs="Arial"/>
          <w:u w:val="single"/>
        </w:rPr>
        <w:t>COD</w:t>
      </w:r>
      <w:r>
        <w:rPr>
          <w:rFonts w:cs="Arial"/>
        </w:rPr>
        <w:t xml:space="preserve">” shall have the meaning set forth in </w:t>
      </w:r>
      <w:r>
        <w:rPr>
          <w:rFonts w:cs="Arial"/>
          <w:u w:val="single"/>
        </w:rPr>
        <w:t>Section 4.5</w:t>
      </w:r>
      <w:r>
        <w:rPr>
          <w:rFonts w:cs="Arial"/>
        </w:rPr>
        <w:t>.</w:t>
      </w:r>
    </w:p>
    <w:p w:rsidR="0079779A" w:rsidRDefault="003E5439" w14:paraId="34586673" w14:textId="77777777">
      <w:pPr>
        <w:pStyle w:val="BodyTextFirstIndent"/>
        <w:ind w:right="0"/>
        <w:rPr>
          <w:lang w:val="en-US"/>
        </w:rPr>
      </w:pPr>
      <w:r>
        <w:rPr>
          <w:lang w:val="en-US"/>
        </w:rPr>
        <w:t>“</w:t>
      </w:r>
      <w:r>
        <w:rPr>
          <w:u w:val="single"/>
          <w:lang w:val="en-US"/>
        </w:rPr>
        <w:t>Commercial Operation Test</w:t>
      </w:r>
      <w:r>
        <w:rPr>
          <w:lang w:val="en-US"/>
        </w:rPr>
        <w:t xml:space="preserve">” </w:t>
      </w:r>
      <w:r>
        <w:rPr>
          <w:rFonts w:cs="Arial"/>
          <w:lang w:val="en-US"/>
        </w:rPr>
        <w:t>means</w:t>
      </w:r>
      <w:r>
        <w:rPr>
          <w:lang w:val="en-US"/>
        </w:rPr>
        <w:t xml:space="preserve"> the </w:t>
      </w:r>
      <w:r>
        <w:rPr>
          <w:rFonts w:cs="Arial"/>
          <w:lang w:val="en-US"/>
        </w:rPr>
        <w:t>commercial operation test described</w:t>
      </w:r>
      <w:r>
        <w:rPr>
          <w:lang w:val="en-US"/>
        </w:rPr>
        <w:t xml:space="preserve"> in </w:t>
      </w:r>
      <w:r>
        <w:rPr>
          <w:rFonts w:cs="Arial"/>
          <w:u w:val="single"/>
          <w:lang w:val="en-US"/>
        </w:rPr>
        <w:t>Exhibit M – Battery Storage System Testing Protocols</w:t>
      </w:r>
      <w:r>
        <w:rPr>
          <w:rFonts w:cs="Arial"/>
          <w:lang w:val="en-US"/>
        </w:rPr>
        <w:t>.</w:t>
      </w:r>
      <w:r>
        <w:rPr>
          <w:lang w:val="en-US"/>
        </w:rPr>
        <w:t xml:space="preserve"> </w:t>
      </w:r>
    </w:p>
    <w:p w:rsidR="0079779A" w:rsidRDefault="003E5439" w14:paraId="3E5F1B26" w14:textId="77777777">
      <w:pPr>
        <w:pStyle w:val="BodyTextFirstIndent"/>
        <w:ind w:right="0"/>
      </w:pPr>
      <w:r>
        <w:rPr>
          <w:rFonts w:cs="Arial"/>
          <w:lang w:val="en-US"/>
        </w:rPr>
        <w:t xml:space="preserve"> </w:t>
      </w:r>
      <w:r>
        <w:t>“</w:t>
      </w:r>
      <w:r>
        <w:rPr>
          <w:u w:val="single"/>
        </w:rPr>
        <w:t>Commercial Operation Year</w:t>
      </w:r>
      <w:r>
        <w:t xml:space="preserve">” </w:t>
      </w:r>
      <w:r>
        <w:rPr>
          <w:rFonts w:cs="Arial"/>
        </w:rPr>
        <w:t xml:space="preserve">shall have the meaning set forth in </w:t>
      </w:r>
      <w:r>
        <w:rPr>
          <w:rFonts w:cs="Arial"/>
          <w:u w:val="single"/>
        </w:rPr>
        <w:t>Section 4.5</w:t>
      </w:r>
      <w:r>
        <w:rPr>
          <w:u w:val="single"/>
        </w:rPr>
        <w:t>(</w:t>
      </w:r>
      <w:r>
        <w:rPr>
          <w:u w:val="single"/>
          <w:lang w:val="en-US"/>
        </w:rPr>
        <w:t>E</w:t>
      </w:r>
      <w:r>
        <w:rPr>
          <w:u w:val="single"/>
        </w:rPr>
        <w:t>)</w:t>
      </w:r>
      <w:r>
        <w:t>.</w:t>
      </w:r>
    </w:p>
    <w:p w:rsidR="0079779A" w:rsidRDefault="003E5439" w14:paraId="61A164AF" w14:textId="77777777">
      <w:pPr>
        <w:pStyle w:val="BodyTextFirstIndent"/>
        <w:ind w:right="0"/>
      </w:pPr>
      <w:r>
        <w:t>“</w:t>
      </w:r>
      <w:r>
        <w:rPr>
          <w:u w:val="single"/>
        </w:rPr>
        <w:t>Commercially Reasonable</w:t>
      </w:r>
      <w:r>
        <w:t>” or “</w:t>
      </w:r>
      <w:r>
        <w:rPr>
          <w:u w:val="single"/>
        </w:rPr>
        <w:t>Commercially Reasonable Efforts</w:t>
      </w:r>
      <w:r>
        <w:t>” means, with respect to any action to be taken or attempted by a Party under this PPA, the level of effort in light of the facts known to such Party at the time a decision is made that: (a) can reasonably be expected to accomplish the desired action at a reasonable cost; (b) is consistent with Go</w:t>
      </w:r>
      <w:r>
        <w:rPr>
          <w:color w:val="000000"/>
        </w:rPr>
        <w:t>od</w:t>
      </w:r>
      <w:r>
        <w:rPr>
          <w:b/>
          <w:color w:val="000000"/>
        </w:rPr>
        <w:t xml:space="preserve"> </w:t>
      </w:r>
      <w:r>
        <w:rPr>
          <w:color w:val="000000"/>
        </w:rPr>
        <w:t>Utility Practices</w:t>
      </w:r>
      <w:r>
        <w:t>;</w:t>
      </w:r>
      <w:r>
        <w:rPr>
          <w:lang w:val="en-US"/>
        </w:rPr>
        <w:t xml:space="preserve"> (c) is consistent with the terms in this PPA; </w:t>
      </w:r>
      <w:r>
        <w:t>and (</w:t>
      </w:r>
      <w:r>
        <w:rPr>
          <w:lang w:val="en-US"/>
        </w:rPr>
        <w:t>d</w:t>
      </w:r>
      <w:r>
        <w:t>) takes into consideration the amount of advance notice required to take such action, the duration and type of action, and the competitive environment in which such action occurs.</w:t>
      </w:r>
    </w:p>
    <w:p w:rsidR="0079779A" w:rsidRDefault="003E5439" w14:paraId="07A06C4A" w14:textId="77777777">
      <w:pPr>
        <w:pStyle w:val="BodyTextFirstIndent"/>
        <w:spacing w:after="160"/>
        <w:ind w:right="0"/>
        <w:rPr>
          <w:lang w:val="en-US"/>
        </w:rPr>
      </w:pPr>
      <w:r>
        <w:rPr>
          <w:lang w:val="en-US"/>
        </w:rPr>
        <w:t>“</w:t>
      </w:r>
      <w:r>
        <w:rPr>
          <w:u w:val="single"/>
          <w:lang w:val="en-US"/>
        </w:rPr>
        <w:t>Company Dispatched Test</w:t>
      </w:r>
      <w:r>
        <w:rPr>
          <w:lang w:val="en-US"/>
        </w:rPr>
        <w:t xml:space="preserve">” shall have the meaning set forth in </w:t>
      </w:r>
      <w:r>
        <w:rPr>
          <w:u w:val="single"/>
          <w:lang w:val="en-US"/>
        </w:rPr>
        <w:t>Section 5.6(D)</w:t>
      </w:r>
      <w:r>
        <w:rPr>
          <w:lang w:val="en-US"/>
        </w:rPr>
        <w:t>.</w:t>
      </w:r>
    </w:p>
    <w:p w:rsidR="0079779A" w:rsidRDefault="003E5439" w14:paraId="3066F6C6" w14:textId="77777777">
      <w:pPr>
        <w:pStyle w:val="BodyTextFirstIndent"/>
        <w:ind w:right="0"/>
      </w:pPr>
      <w:r>
        <w:t>“</w:t>
      </w:r>
      <w:r>
        <w:rPr>
          <w:u w:val="single"/>
        </w:rPr>
        <w:t>Confidential Information</w:t>
      </w:r>
      <w:r>
        <w:t xml:space="preserve">” shall have the meaning set forth in </w:t>
      </w:r>
      <w:r>
        <w:rPr>
          <w:u w:val="single"/>
        </w:rPr>
        <w:t>Section 20.18(A)</w:t>
      </w:r>
      <w:r>
        <w:t>.</w:t>
      </w:r>
    </w:p>
    <w:p w:rsidR="0079779A" w:rsidRDefault="003E5439" w14:paraId="7915E3FE" w14:textId="77777777">
      <w:pPr>
        <w:pStyle w:val="BodyTextFirstIndent"/>
        <w:ind w:right="0"/>
      </w:pPr>
      <w:r>
        <w:t>“</w:t>
      </w:r>
      <w:r>
        <w:rPr>
          <w:u w:val="single"/>
        </w:rPr>
        <w:t>Construction Contracts</w:t>
      </w:r>
      <w:r>
        <w:t xml:space="preserve">” shall have the meaning set forth in </w:t>
      </w:r>
      <w:r>
        <w:rPr>
          <w:u w:val="single"/>
        </w:rPr>
        <w:t>Section 4.</w:t>
      </w:r>
      <w:r>
        <w:rPr>
          <w:u w:val="single"/>
          <w:lang w:val="en-US"/>
        </w:rPr>
        <w:t>1(A)</w:t>
      </w:r>
      <w:r>
        <w:t>.</w:t>
      </w:r>
    </w:p>
    <w:p w:rsidR="0079779A" w:rsidRDefault="003E5439" w14:paraId="57D86DD9" w14:textId="77777777">
      <w:pPr>
        <w:pStyle w:val="BodyTextFirstIndent"/>
        <w:ind w:right="0"/>
      </w:pPr>
      <w:r>
        <w:t>“</w:t>
      </w:r>
      <w:r>
        <w:rPr>
          <w:u w:val="single"/>
        </w:rPr>
        <w:t>Construction Milestones</w:t>
      </w:r>
      <w:r>
        <w:t xml:space="preserve">” means the dates set forth in </w:t>
      </w:r>
      <w:r>
        <w:rPr>
          <w:u w:val="single"/>
        </w:rPr>
        <w:t>Exhibit B – Construction Milestones</w:t>
      </w:r>
      <w:r>
        <w:t>.</w:t>
      </w:r>
    </w:p>
    <w:p w:rsidR="0079779A" w:rsidRDefault="003E5439" w14:paraId="24FB114C" w14:textId="77777777">
      <w:pPr>
        <w:pStyle w:val="BodyTextFirstIndent"/>
        <w:ind w:right="0"/>
      </w:pPr>
      <w:r>
        <w:t>“</w:t>
      </w:r>
      <w:r>
        <w:rPr>
          <w:u w:val="single"/>
        </w:rPr>
        <w:t>Credit Rating</w:t>
      </w:r>
      <w:r>
        <w:t xml:space="preserve">” of any </w:t>
      </w:r>
      <w:r>
        <w:rPr>
          <w:lang w:val="en-US"/>
        </w:rPr>
        <w:t>p</w:t>
      </w:r>
      <w:proofErr w:type="spellStart"/>
      <w:r>
        <w:t>erson</w:t>
      </w:r>
      <w:proofErr w:type="spellEnd"/>
      <w:r>
        <w:t xml:space="preserve"> </w:t>
      </w:r>
      <w:r>
        <w:rPr>
          <w:lang w:val="en-US"/>
        </w:rPr>
        <w:t xml:space="preserve">or entity </w:t>
      </w:r>
      <w:r>
        <w:t xml:space="preserve">means the lowest rating assigned to such </w:t>
      </w:r>
      <w:r>
        <w:rPr>
          <w:lang w:val="en-US"/>
        </w:rPr>
        <w:t>p</w:t>
      </w:r>
      <w:proofErr w:type="spellStart"/>
      <w:r>
        <w:t>erson</w:t>
      </w:r>
      <w:proofErr w:type="spellEnd"/>
      <w:r>
        <w:rPr>
          <w:lang w:val="en-US"/>
        </w:rPr>
        <w:t xml:space="preserve"> or entity’</w:t>
      </w:r>
      <w:r>
        <w:t>s long-term debt or deposit obligations (unenhanced by third-party support) by S</w:t>
      </w:r>
      <w:r>
        <w:rPr>
          <w:lang w:val="en-US"/>
        </w:rPr>
        <w:t>tandard &amp; Poor’s and</w:t>
      </w:r>
      <w:r>
        <w:t xml:space="preserve"> Moody’s.  If such </w:t>
      </w:r>
      <w:r>
        <w:rPr>
          <w:lang w:val="en-US"/>
        </w:rPr>
        <w:t>p</w:t>
      </w:r>
      <w:proofErr w:type="spellStart"/>
      <w:r>
        <w:t>erson</w:t>
      </w:r>
      <w:proofErr w:type="spellEnd"/>
      <w:r>
        <w:t xml:space="preserve"> </w:t>
      </w:r>
      <w:r>
        <w:rPr>
          <w:lang w:val="en-US"/>
        </w:rPr>
        <w:t xml:space="preserve">or entity </w:t>
      </w:r>
      <w:r>
        <w:t xml:space="preserve">has no outstanding long-term debt or deposit obligations, or if no rating is assigned to such obligations, “Credit Rating” shall mean the lowest general corporate credit rating or long-term issuer rating assigned to such </w:t>
      </w:r>
      <w:r>
        <w:rPr>
          <w:lang w:val="en-US"/>
        </w:rPr>
        <w:t>p</w:t>
      </w:r>
      <w:proofErr w:type="spellStart"/>
      <w:r>
        <w:t>erson</w:t>
      </w:r>
      <w:proofErr w:type="spellEnd"/>
      <w:r>
        <w:t xml:space="preserve"> </w:t>
      </w:r>
      <w:r>
        <w:rPr>
          <w:lang w:val="en-US"/>
        </w:rPr>
        <w:t xml:space="preserve">or entity </w:t>
      </w:r>
      <w:r>
        <w:t>by S</w:t>
      </w:r>
      <w:r>
        <w:rPr>
          <w:lang w:val="en-US"/>
        </w:rPr>
        <w:t>tandard &amp; Poor’s or</w:t>
      </w:r>
      <w:r>
        <w:t xml:space="preserve"> Moody’s.</w:t>
      </w:r>
    </w:p>
    <w:p w:rsidR="0079779A" w:rsidRDefault="003E5439" w14:paraId="4ED366ED" w14:textId="77777777">
      <w:pPr>
        <w:pStyle w:val="BodyTextFirstIndent"/>
        <w:ind w:right="0"/>
      </w:pPr>
      <w:r>
        <w:t>“</w:t>
      </w:r>
      <w:r>
        <w:rPr>
          <w:u w:val="single"/>
        </w:rPr>
        <w:t>Damage Cap</w:t>
      </w:r>
      <w:r>
        <w:t xml:space="preserve">” shall have the meaning set forth in </w:t>
      </w:r>
      <w:r>
        <w:rPr>
          <w:u w:val="single"/>
        </w:rPr>
        <w:t>Section 12.4</w:t>
      </w:r>
      <w:r>
        <w:t>.</w:t>
      </w:r>
    </w:p>
    <w:p w:rsidR="0079779A" w:rsidRDefault="003E5439" w14:paraId="1F207588" w14:textId="77777777">
      <w:pPr>
        <w:pStyle w:val="BodyTextFirstIndent"/>
        <w:ind w:right="0"/>
      </w:pPr>
      <w:r>
        <w:t>“</w:t>
      </w:r>
      <w:r>
        <w:rPr>
          <w:u w:val="single"/>
        </w:rPr>
        <w:t>Day</w:t>
      </w:r>
      <w:r>
        <w:t>” means a calendar day.</w:t>
      </w:r>
    </w:p>
    <w:p w:rsidR="0079779A" w:rsidRDefault="003E5439" w14:paraId="3B49974E" w14:textId="77777777">
      <w:pPr>
        <w:pStyle w:val="BodyTextFirstIndent"/>
        <w:ind w:right="0"/>
        <w:rPr>
          <w:lang w:val="en-US"/>
        </w:rPr>
      </w:pPr>
      <w:r>
        <w:rPr>
          <w:lang w:val="en-US"/>
        </w:rPr>
        <w:t>“</w:t>
      </w:r>
      <w:r>
        <w:rPr>
          <w:u w:val="single"/>
          <w:lang w:val="en-US"/>
        </w:rPr>
        <w:t>Delivery Period</w:t>
      </w:r>
      <w:r>
        <w:rPr>
          <w:lang w:val="en-US"/>
        </w:rPr>
        <w:t xml:space="preserve">” </w:t>
      </w:r>
      <w:r>
        <w:t xml:space="preserve">shall be the period during which </w:t>
      </w:r>
      <w:r>
        <w:rPr>
          <w:lang w:val="en-US"/>
        </w:rPr>
        <w:t xml:space="preserve">the Facility is </w:t>
      </w:r>
      <w:r>
        <w:t xml:space="preserve">available to </w:t>
      </w:r>
      <w:r>
        <w:rPr>
          <w:lang w:val="en-US"/>
        </w:rPr>
        <w:t xml:space="preserve">receive Charging Energy from, or deliver Discharging Energy to, </w:t>
      </w:r>
      <w:r>
        <w:t>Company, commencing at 12:01 am on the Commercial Operation Date and continuing until midnight on the Scheduled Termination Date, subject to early termination as provided in this PPA</w:t>
      </w:r>
      <w:r>
        <w:rPr>
          <w:lang w:val="en-US"/>
        </w:rPr>
        <w:t>.</w:t>
      </w:r>
    </w:p>
    <w:p w:rsidR="0079779A" w:rsidRDefault="003E5439" w14:paraId="113E6E52" w14:textId="77777777">
      <w:pPr>
        <w:pStyle w:val="BodyTextFirstIndent"/>
        <w:ind w:right="0"/>
        <w:rPr>
          <w:lang w:val="en-US"/>
        </w:rPr>
      </w:pPr>
      <w:r>
        <w:rPr>
          <w:lang w:val="en-US"/>
        </w:rPr>
        <w:t xml:space="preserve"> “</w:t>
      </w:r>
      <w:r>
        <w:rPr>
          <w:u w:val="single"/>
          <w:lang w:val="en-US"/>
        </w:rPr>
        <w:t>Discharging Energy</w:t>
      </w:r>
      <w:r>
        <w:rPr>
          <w:lang w:val="en-US"/>
        </w:rPr>
        <w:t>” means all Energy discharged by the Battery Storage System and delivered to the Point of Delivery.</w:t>
      </w:r>
    </w:p>
    <w:p w:rsidR="0079779A" w:rsidRDefault="003E5439" w14:paraId="231AF13E" w14:textId="77777777">
      <w:pPr>
        <w:pStyle w:val="BodyTextFirstIndent"/>
        <w:ind w:right="0"/>
        <w:rPr>
          <w:lang w:val="en-US"/>
        </w:rPr>
      </w:pPr>
      <w:r>
        <w:rPr>
          <w:lang w:val="en-US"/>
        </w:rPr>
        <w:t>“</w:t>
      </w:r>
      <w:r>
        <w:rPr>
          <w:u w:val="single"/>
          <w:lang w:val="en-US"/>
        </w:rPr>
        <w:t>Discharging Energy Price</w:t>
      </w:r>
      <w:r>
        <w:rPr>
          <w:lang w:val="en-US"/>
        </w:rPr>
        <w:t xml:space="preserve">” means, if Company has joined a regional transmission organization or is participating in an organized market for which nodal </w:t>
      </w:r>
      <w:r>
        <w:rPr>
          <w:lang w:val="en-US"/>
        </w:rPr>
        <w:lastRenderedPageBreak/>
        <w:t xml:space="preserve">prices can be determined, </w:t>
      </w:r>
      <w:r w:rsidR="00E313AB">
        <w:rPr>
          <w:lang w:val="en-US"/>
        </w:rPr>
        <w:t xml:space="preserve">then </w:t>
      </w:r>
      <w:r>
        <w:rPr>
          <w:lang w:val="en-US"/>
        </w:rPr>
        <w:t xml:space="preserve">the applicable nodal price per MWh </w:t>
      </w:r>
      <w:r w:rsidR="00B43240">
        <w:rPr>
          <w:lang w:val="en-US"/>
        </w:rPr>
        <w:t xml:space="preserve">in the day-ahead market </w:t>
      </w:r>
      <w:r>
        <w:rPr>
          <w:lang w:val="en-US"/>
        </w:rPr>
        <w:t>as determined by Company in its sole discretion, or</w:t>
      </w:r>
      <w:r w:rsidR="00E313AB">
        <w:rPr>
          <w:lang w:val="en-US"/>
        </w:rPr>
        <w:t>, if not, then</w:t>
      </w:r>
      <w:r>
        <w:rPr>
          <w:lang w:val="en-US"/>
        </w:rPr>
        <w:t xml:space="preserve"> the applicable price per MWh as determined by Company in its sole discretion pursuant to its cost calculator. </w:t>
      </w:r>
    </w:p>
    <w:p w:rsidR="0079779A" w:rsidRDefault="003E5439" w14:paraId="5BA5ACDE" w14:textId="77777777">
      <w:pPr>
        <w:pStyle w:val="BodyTextFirstIndent"/>
        <w:ind w:right="0"/>
        <w:rPr>
          <w:lang w:val="en-US"/>
        </w:rPr>
      </w:pPr>
      <w:r>
        <w:rPr>
          <w:lang w:val="en-US"/>
        </w:rPr>
        <w:t>“</w:t>
      </w:r>
      <w:r>
        <w:rPr>
          <w:u w:val="single"/>
        </w:rPr>
        <w:t>Dispatchability Adjustment</w:t>
      </w:r>
      <w:r>
        <w:rPr>
          <w:lang w:val="en-US"/>
        </w:rPr>
        <w:t xml:space="preserve">” shall have the meaning set forth in </w:t>
      </w:r>
      <w:r>
        <w:rPr>
          <w:u w:val="single"/>
          <w:lang w:val="en-US"/>
        </w:rPr>
        <w:t>Section 8.4(D)</w:t>
      </w:r>
      <w:r>
        <w:rPr>
          <w:lang w:val="en-US"/>
        </w:rPr>
        <w:t>.</w:t>
      </w:r>
    </w:p>
    <w:p w:rsidR="0079779A" w:rsidRDefault="003E5439" w14:paraId="7DE59637" w14:textId="77777777">
      <w:pPr>
        <w:pStyle w:val="BodyTextFirstIndent"/>
        <w:ind w:right="0"/>
        <w:rPr>
          <w:lang w:val="en-US"/>
        </w:rPr>
      </w:pPr>
      <w:r>
        <w:rPr>
          <w:lang w:val="en-US"/>
        </w:rPr>
        <w:t>“</w:t>
      </w:r>
      <w:r>
        <w:rPr>
          <w:u w:val="single"/>
          <w:lang w:val="en-US"/>
        </w:rPr>
        <w:t>Dispatch Availability Factor</w:t>
      </w:r>
      <w:r>
        <w:rPr>
          <w:lang w:val="en-US"/>
        </w:rPr>
        <w:t xml:space="preserve">” shall have the meaning set forth in </w:t>
      </w:r>
      <w:r>
        <w:rPr>
          <w:u w:val="single"/>
          <w:lang w:val="en-US"/>
        </w:rPr>
        <w:t>Section 8.4(D)</w:t>
      </w:r>
      <w:r>
        <w:rPr>
          <w:lang w:val="en-US"/>
        </w:rPr>
        <w:t xml:space="preserve">. </w:t>
      </w:r>
    </w:p>
    <w:p w:rsidR="0079779A" w:rsidRDefault="003E5439" w14:paraId="6BC0A674" w14:textId="77777777">
      <w:pPr>
        <w:pStyle w:val="BodyTextFirstIndent"/>
        <w:ind w:right="0"/>
      </w:pPr>
      <w:r>
        <w:rPr>
          <w:lang w:val="en-US"/>
        </w:rPr>
        <w:t>“</w:t>
      </w:r>
      <w:r>
        <w:rPr>
          <w:u w:val="single"/>
          <w:lang w:val="en-US"/>
        </w:rPr>
        <w:t>Dispatch Notice</w:t>
      </w:r>
      <w:r>
        <w:rPr>
          <w:lang w:val="en-US"/>
        </w:rPr>
        <w:t xml:space="preserve">” </w:t>
      </w:r>
      <w:r>
        <w:t xml:space="preserve">means the operating instruction, and any subsequent updates, given by </w:t>
      </w:r>
      <w:r>
        <w:rPr>
          <w:lang w:val="en-US"/>
        </w:rPr>
        <w:t>Company</w:t>
      </w:r>
      <w:r>
        <w:t xml:space="preserve"> to Seller, directing the Battery Storage System</w:t>
      </w:r>
      <w:r>
        <w:rPr>
          <w:lang w:val="en-US"/>
        </w:rPr>
        <w:t xml:space="preserve"> </w:t>
      </w:r>
      <w:r>
        <w:t xml:space="preserve">to </w:t>
      </w:r>
      <w:r>
        <w:rPr>
          <w:lang w:val="en-US"/>
        </w:rPr>
        <w:t xml:space="preserve">(i) charge at a specified megawatt input or discharge at a specified megawatt output, and (ii) at a specified Ramp Rate.  </w:t>
      </w:r>
      <w:r>
        <w:t xml:space="preserve">Dispatch Notices may be communicated electronically, via facsimile, telephonically or other verbal means.  Telephonic or other verbal communications shall be documented (either recorded by tape, electronically or in writing) and such recordings shall be made available to both </w:t>
      </w:r>
      <w:r>
        <w:rPr>
          <w:lang w:val="en-US"/>
        </w:rPr>
        <w:t xml:space="preserve">Company </w:t>
      </w:r>
      <w:r>
        <w:t xml:space="preserve">and Seller upon request.  </w:t>
      </w:r>
    </w:p>
    <w:p w:rsidR="0079779A" w:rsidRDefault="003E5439" w14:paraId="58BE8E53" w14:textId="77777777">
      <w:pPr>
        <w:spacing w:after="160" w:line="259" w:lineRule="auto"/>
        <w:ind w:firstLine="720"/>
      </w:pPr>
      <w:r>
        <w:t>“</w:t>
      </w:r>
      <w:r>
        <w:rPr>
          <w:u w:val="single"/>
        </w:rPr>
        <w:t>Dispatch Parameter</w:t>
      </w:r>
      <w:r>
        <w:t xml:space="preserve">” means, as applicable, the (i) the megawatt input for charging specified in a Dispatch Notice; </w:t>
      </w:r>
      <w:r w:rsidR="00252D7F">
        <w:t xml:space="preserve">and </w:t>
      </w:r>
      <w:r>
        <w:t xml:space="preserve">(ii) the megawatt output for discharging specified in a Dispatch Notice. </w:t>
      </w:r>
    </w:p>
    <w:p w:rsidR="0079779A" w:rsidRDefault="003E5439" w14:paraId="2166EC6F" w14:textId="77777777">
      <w:pPr>
        <w:pStyle w:val="BodyTextFirstIndent"/>
        <w:ind w:right="0"/>
      </w:pPr>
      <w:r>
        <w:rPr>
          <w:lang w:val="en-US"/>
        </w:rPr>
        <w:t>“</w:t>
      </w:r>
      <w:r>
        <w:rPr>
          <w:u w:val="single"/>
        </w:rPr>
        <w:t>Dispute</w:t>
      </w:r>
      <w:r>
        <w:rPr>
          <w:lang w:val="en-US"/>
        </w:rPr>
        <w:t>”</w:t>
      </w:r>
      <w:r>
        <w:t xml:space="preserve"> shall have the meaning set forth in </w:t>
      </w:r>
      <w:r>
        <w:rPr>
          <w:u w:val="single"/>
          <w:lang w:val="en-US"/>
        </w:rPr>
        <w:t xml:space="preserve">Section </w:t>
      </w:r>
      <w:r>
        <w:rPr>
          <w:u w:val="single"/>
        </w:rPr>
        <w:t>13</w:t>
      </w:r>
      <w:r>
        <w:rPr>
          <w:u w:val="single"/>
          <w:lang w:val="en-US"/>
        </w:rPr>
        <w:t>.1(A)</w:t>
      </w:r>
      <w:r>
        <w:t>.</w:t>
      </w:r>
    </w:p>
    <w:p w:rsidR="0079779A" w:rsidRDefault="003E5439" w14:paraId="04890F7B" w14:textId="77777777">
      <w:pPr>
        <w:pStyle w:val="BodyTextFirstIndent"/>
        <w:ind w:right="0"/>
      </w:pPr>
      <w:r>
        <w:rPr>
          <w:lang w:val="en-US"/>
        </w:rPr>
        <w:t>“</w:t>
      </w:r>
      <w:r>
        <w:rPr>
          <w:u w:val="single"/>
        </w:rPr>
        <w:t>Disput</w:t>
      </w:r>
      <w:r>
        <w:rPr>
          <w:u w:val="single"/>
          <w:lang w:val="en-US"/>
        </w:rPr>
        <w:t xml:space="preserve">e </w:t>
      </w:r>
      <w:proofErr w:type="spellStart"/>
      <w:r>
        <w:rPr>
          <w:u w:val="single"/>
          <w:lang w:val="en-US"/>
        </w:rPr>
        <w:t>Notic</w:t>
      </w:r>
      <w:proofErr w:type="spellEnd"/>
      <w:r>
        <w:rPr>
          <w:u w:val="single"/>
        </w:rPr>
        <w:t>e</w:t>
      </w:r>
      <w:r>
        <w:rPr>
          <w:lang w:val="en-US"/>
        </w:rPr>
        <w:t>”</w:t>
      </w:r>
      <w:r>
        <w:t xml:space="preserve"> shall have the meaning set forth in </w:t>
      </w:r>
      <w:r>
        <w:rPr>
          <w:u w:val="single"/>
          <w:lang w:val="en-US"/>
        </w:rPr>
        <w:t>Section 13.1(A)</w:t>
      </w:r>
      <w:r>
        <w:t>.</w:t>
      </w:r>
    </w:p>
    <w:p w:rsidR="0079779A" w:rsidRDefault="003E5439" w14:paraId="19239B28" w14:textId="77777777">
      <w:pPr>
        <w:pStyle w:val="BodyTextFirstIndent"/>
        <w:ind w:right="0"/>
      </w:pPr>
      <w:r>
        <w:t>“</w:t>
      </w:r>
      <w:r>
        <w:rPr>
          <w:u w:val="single"/>
        </w:rPr>
        <w:t>Economic Benefit</w:t>
      </w:r>
      <w:r>
        <w:t xml:space="preserve">” has the meaning set forth in </w:t>
      </w:r>
      <w:r w:rsidRPr="00BB4F69">
        <w:rPr>
          <w:u w:val="single"/>
        </w:rPr>
        <w:t xml:space="preserve">Section </w:t>
      </w:r>
      <w:r w:rsidRPr="00BB4F69">
        <w:rPr>
          <w:u w:val="single"/>
          <w:lang w:val="en-US"/>
        </w:rPr>
        <w:t>20</w:t>
      </w:r>
      <w:r w:rsidRPr="00BB4F69">
        <w:rPr>
          <w:u w:val="single"/>
        </w:rPr>
        <w:t>.</w:t>
      </w:r>
      <w:r w:rsidRPr="00BB4F69">
        <w:rPr>
          <w:u w:val="single"/>
          <w:lang w:val="en-US"/>
        </w:rPr>
        <w:t>2</w:t>
      </w:r>
      <w:r w:rsidRPr="00BB4F69">
        <w:rPr>
          <w:u w:val="single"/>
        </w:rPr>
        <w:t>(</w:t>
      </w:r>
      <w:r w:rsidRPr="00BB4F69">
        <w:rPr>
          <w:u w:val="single"/>
          <w:lang w:val="en-US"/>
        </w:rPr>
        <w:t>E</w:t>
      </w:r>
      <w:r w:rsidRPr="00BB4F69">
        <w:rPr>
          <w:u w:val="single"/>
        </w:rPr>
        <w:t>)</w:t>
      </w:r>
      <w:r>
        <w:t>.</w:t>
      </w:r>
    </w:p>
    <w:p w:rsidR="0079779A" w:rsidRDefault="003E5439" w14:paraId="06040D39" w14:textId="77777777">
      <w:pPr>
        <w:pStyle w:val="BodyTextFirstIndent"/>
        <w:ind w:right="0"/>
        <w:rPr>
          <w:lang w:val="en-US"/>
        </w:rPr>
      </w:pPr>
      <w:r>
        <w:t>“</w:t>
      </w:r>
      <w:r>
        <w:rPr>
          <w:u w:val="single"/>
        </w:rPr>
        <w:t>Electric Metering Devices</w:t>
      </w:r>
      <w:r>
        <w:t>” means revenue quality meters, metering equipment and</w:t>
      </w:r>
      <w:r>
        <w:rPr>
          <w:lang w:val="en-US"/>
        </w:rPr>
        <w:t>/or</w:t>
      </w:r>
      <w:r>
        <w:t xml:space="preserve"> data processing equipment used to measure, record and transmit data with respect to the to the </w:t>
      </w:r>
      <w:r>
        <w:rPr>
          <w:lang w:val="en-US"/>
        </w:rPr>
        <w:t>Charging Energy delivered to and the Discharging Energy delivered from the Battery Storage System</w:t>
      </w:r>
      <w:r>
        <w:t>, including metering current transformers and metering voltage transformers.</w:t>
      </w:r>
      <w:r>
        <w:rPr>
          <w:lang w:val="en-US"/>
        </w:rPr>
        <w:t xml:space="preserve">  The Electric Metering Devices must transmit to Company five-minute revenue quality meter data.  </w:t>
      </w:r>
    </w:p>
    <w:p w:rsidR="0079779A" w:rsidRDefault="003E5439" w14:paraId="647C0651" w14:textId="77777777">
      <w:pPr>
        <w:spacing w:after="240"/>
        <w:ind w:firstLine="720"/>
        <w:jc w:val="both"/>
        <w:rPr>
          <w:rFonts w:cs="Arial"/>
        </w:rPr>
      </w:pPr>
      <w:r>
        <w:rPr>
          <w:rFonts w:cs="Arial"/>
        </w:rPr>
        <w:t xml:space="preserve"> “</w:t>
      </w:r>
      <w:r>
        <w:rPr>
          <w:rFonts w:cs="Arial"/>
          <w:u w:val="single"/>
        </w:rPr>
        <w:t>Emergency</w:t>
      </w:r>
      <w:r>
        <w:rPr>
          <w:rFonts w:cs="Arial"/>
        </w:rPr>
        <w:t>” means any event or occurrence during the Term that results in the declaration of an Emergency Condition under and as defined in the Interconnection Agreement.</w:t>
      </w:r>
    </w:p>
    <w:p w:rsidR="0079779A" w:rsidRDefault="003E5439" w14:paraId="050B3DA0" w14:textId="77777777">
      <w:pPr>
        <w:ind w:firstLine="720"/>
      </w:pPr>
      <w:r>
        <w:t>“</w:t>
      </w:r>
      <w:r>
        <w:rPr>
          <w:u w:val="single"/>
        </w:rPr>
        <w:t>Energy</w:t>
      </w:r>
      <w:r>
        <w:t xml:space="preserve">” means all electrical energy stored and discharged by the Battery Storage System during the Term.  </w:t>
      </w:r>
    </w:p>
    <w:p w:rsidR="0079779A" w:rsidRDefault="0079779A" w14:paraId="1B47E1B1" w14:textId="77777777">
      <w:pPr>
        <w:ind w:firstLine="720"/>
      </w:pPr>
    </w:p>
    <w:p w:rsidR="0079779A" w:rsidRDefault="003E5439" w14:paraId="2FAA107A" w14:textId="77777777">
      <w:pPr>
        <w:pStyle w:val="BodyTextFirstIndent"/>
        <w:ind w:right="0"/>
      </w:pPr>
      <w:r>
        <w:t>"</w:t>
      </w:r>
      <w:r>
        <w:rPr>
          <w:u w:val="single"/>
        </w:rPr>
        <w:t>Energy Markets Control Center</w:t>
      </w:r>
      <w:r>
        <w:t>" or "</w:t>
      </w:r>
      <w:r>
        <w:rPr>
          <w:u w:val="single"/>
        </w:rPr>
        <w:t>EMCC</w:t>
      </w:r>
      <w:r>
        <w:t>" means Company's merchant representatives responsible for dispatch of the Facility.</w:t>
      </w:r>
    </w:p>
    <w:p w:rsidR="0079779A" w:rsidRDefault="003E5439" w14:paraId="2A46F59C" w14:textId="77777777">
      <w:pPr>
        <w:pStyle w:val="BodyTextFirstIndent"/>
        <w:ind w:right="0"/>
        <w:rPr>
          <w:rFonts w:cs="Arial"/>
          <w:b/>
          <w:i/>
          <w:sz w:val="20"/>
          <w:szCs w:val="20"/>
        </w:rPr>
      </w:pPr>
      <w:r>
        <w:rPr>
          <w:rFonts w:cs="Arial"/>
        </w:rPr>
        <w:t>“</w:t>
      </w:r>
      <w:r>
        <w:rPr>
          <w:rFonts w:cs="Arial"/>
          <w:u w:val="single"/>
        </w:rPr>
        <w:t>Energy Resource Interconnection Service</w:t>
      </w:r>
      <w:r>
        <w:rPr>
          <w:rFonts w:cs="Arial"/>
        </w:rPr>
        <w:t xml:space="preserve">” means the type of interconnection service which allows Seller to connect the Facility to the transmission or distribution system, as applicable, as an “Energy Resource” as defined by the Transmission Tariff, </w:t>
      </w:r>
      <w:r>
        <w:rPr>
          <w:rFonts w:cs="Arial"/>
        </w:rPr>
        <w:lastRenderedPageBreak/>
        <w:t>and be eligible to deliver the Facility’s output using the existing firm or non-firm capacity on the transmission system on an as-available basis.</w:t>
      </w:r>
      <w:r>
        <w:rPr>
          <w:rFonts w:cs="Arial"/>
          <w:lang w:val="en-US"/>
        </w:rPr>
        <w:t xml:space="preserve">   </w:t>
      </w:r>
      <w:r>
        <w:rPr>
          <w:rFonts w:cs="Arial"/>
          <w:b/>
          <w:i/>
          <w:sz w:val="20"/>
          <w:szCs w:val="20"/>
          <w:lang w:val="en-US"/>
        </w:rPr>
        <w:t>if needed</w:t>
      </w:r>
    </w:p>
    <w:p w:rsidR="0079779A" w:rsidRDefault="003E5439" w14:paraId="7F491A9D" w14:textId="77777777">
      <w:pPr>
        <w:pStyle w:val="BodyTextFirstIndent"/>
        <w:ind w:right="0"/>
      </w:pPr>
      <w:r>
        <w:t>“</w:t>
      </w:r>
      <w:r>
        <w:rPr>
          <w:u w:val="single"/>
        </w:rPr>
        <w:t>Environmental Contamination</w:t>
      </w:r>
      <w:r>
        <w:t xml:space="preserve">” shall have the meaning set forth in </w:t>
      </w:r>
      <w:r>
        <w:rPr>
          <w:u w:val="single"/>
        </w:rPr>
        <w:t>Section 4.2</w:t>
      </w:r>
      <w:r>
        <w:t>.</w:t>
      </w:r>
    </w:p>
    <w:p w:rsidR="0079779A" w:rsidRDefault="003E5439" w14:paraId="328EFB09" w14:textId="77777777">
      <w:pPr>
        <w:pStyle w:val="BodyTextFirstIndent"/>
        <w:spacing w:after="60"/>
        <w:ind w:right="0"/>
        <w:rPr>
          <w:rFonts w:cs="Arial"/>
          <w:lang w:val="en-US"/>
        </w:rPr>
      </w:pPr>
      <w:r>
        <w:rPr>
          <w:rFonts w:cs="Arial"/>
          <w:lang w:val="en-US"/>
        </w:rPr>
        <w:t>“</w:t>
      </w:r>
      <w:r>
        <w:rPr>
          <w:rFonts w:cs="Arial"/>
          <w:u w:val="single"/>
          <w:lang w:val="en-US"/>
        </w:rPr>
        <w:t>Equivalent Availability Factor</w:t>
      </w:r>
      <w:r>
        <w:rPr>
          <w:rFonts w:cs="Arial"/>
          <w:lang w:val="en-US"/>
        </w:rPr>
        <w:t xml:space="preserve">” shall have the meaning set forth in </w:t>
      </w:r>
      <w:r>
        <w:rPr>
          <w:rFonts w:cs="Arial"/>
          <w:u w:val="single"/>
          <w:lang w:val="en-US"/>
        </w:rPr>
        <w:t>Section 8.4(C)</w:t>
      </w:r>
      <w:r>
        <w:rPr>
          <w:rFonts w:cs="Arial"/>
          <w:lang w:val="en-US"/>
        </w:rPr>
        <w:t>.</w:t>
      </w:r>
    </w:p>
    <w:p w:rsidR="0079779A" w:rsidRDefault="003E5439" w14:paraId="324167CE" w14:textId="77777777">
      <w:pPr>
        <w:pStyle w:val="BodyTextFirstIndent"/>
        <w:ind w:right="0"/>
      </w:pPr>
      <w:r>
        <w:rPr>
          <w:rFonts w:cs="Arial"/>
          <w:lang w:val="en-US"/>
        </w:rPr>
        <w:t>“</w:t>
      </w:r>
      <w:r>
        <w:rPr>
          <w:rFonts w:cs="Arial"/>
          <w:u w:val="single"/>
          <w:lang w:val="en-US"/>
        </w:rPr>
        <w:t>Equivalent Outage Hours</w:t>
      </w:r>
      <w:r>
        <w:rPr>
          <w:rFonts w:cs="Arial"/>
          <w:lang w:val="en-US"/>
        </w:rPr>
        <w:t xml:space="preserve">” shall have the meaning set forth in </w:t>
      </w:r>
      <w:r>
        <w:rPr>
          <w:rFonts w:cs="Arial"/>
          <w:u w:val="single"/>
          <w:lang w:val="en-US"/>
        </w:rPr>
        <w:t>Section 8.4(C)</w:t>
      </w:r>
      <w:r>
        <w:rPr>
          <w:rFonts w:cs="Arial"/>
          <w:lang w:val="en-US"/>
        </w:rPr>
        <w:t>.</w:t>
      </w:r>
    </w:p>
    <w:p w:rsidR="0079779A" w:rsidRDefault="003E5439" w14:paraId="12381405" w14:textId="77777777">
      <w:pPr>
        <w:pStyle w:val="BodyTextFirstIndent"/>
        <w:ind w:right="0"/>
        <w:rPr>
          <w:rFonts w:cs="Arial"/>
        </w:rPr>
      </w:pPr>
      <w:r>
        <w:t>“</w:t>
      </w:r>
      <w:r>
        <w:rPr>
          <w:u w:val="single"/>
        </w:rPr>
        <w:t>ERO</w:t>
      </w:r>
      <w:r>
        <w:t>” means the Electric Reliability Organization</w:t>
      </w:r>
      <w:r>
        <w:rPr>
          <w:lang w:val="en-US"/>
        </w:rPr>
        <w:t xml:space="preserve"> </w:t>
      </w:r>
      <w:r>
        <w:t>certified by FERC pursuant to Section 215 of the Federal Power Act</w:t>
      </w:r>
      <w:r>
        <w:rPr>
          <w:lang w:val="en-US"/>
        </w:rPr>
        <w:t>,</w:t>
      </w:r>
      <w:r>
        <w:t xml:space="preserve"> or any successor organization.  The certified ERO as of the date of this PPA is</w:t>
      </w:r>
      <w:r>
        <w:rPr>
          <w:lang w:val="en-US"/>
        </w:rPr>
        <w:t xml:space="preserve"> </w:t>
      </w:r>
      <w:r>
        <w:rPr>
          <w:rFonts w:cs="Arial"/>
        </w:rPr>
        <w:t>the Western Electricity Coordinating Council (WECC)</w:t>
      </w:r>
      <w:r>
        <w:rPr>
          <w:rFonts w:cs="Arial"/>
          <w:lang w:val="en-US"/>
        </w:rPr>
        <w:t xml:space="preserve"> and [</w:t>
      </w:r>
      <w:r>
        <w:rPr>
          <w:rFonts w:cs="Arial"/>
          <w:i/>
          <w:highlight w:val="yellow"/>
          <w:lang w:val="en-US"/>
        </w:rPr>
        <w:t>to be provided</w:t>
      </w:r>
      <w:r>
        <w:rPr>
          <w:rFonts w:cs="Arial"/>
          <w:lang w:val="en-US"/>
        </w:rPr>
        <w:t>].</w:t>
      </w:r>
    </w:p>
    <w:p w:rsidR="0079779A" w:rsidRDefault="003E5439" w14:paraId="0C64B08D" w14:textId="77777777">
      <w:pPr>
        <w:pStyle w:val="BodyTextFirstIndent"/>
        <w:ind w:right="0"/>
        <w:rPr>
          <w:lang w:val="en-US"/>
        </w:rPr>
      </w:pPr>
      <w:r>
        <w:t>“</w:t>
      </w:r>
      <w:r>
        <w:rPr>
          <w:u w:val="single"/>
        </w:rPr>
        <w:t>Escrow Account</w:t>
      </w:r>
      <w:r>
        <w:t>”</w:t>
      </w:r>
      <w:r>
        <w:rPr>
          <w:lang w:val="en-US"/>
        </w:rPr>
        <w:t xml:space="preserve"> shall have the meaning set forth in </w:t>
      </w:r>
      <w:r>
        <w:rPr>
          <w:u w:val="single"/>
          <w:lang w:val="en-US"/>
        </w:rPr>
        <w:t>Section 11.3(B)</w:t>
      </w:r>
      <w:r>
        <w:rPr>
          <w:lang w:val="en-US"/>
        </w:rPr>
        <w:t>.</w:t>
      </w:r>
    </w:p>
    <w:p w:rsidR="0079779A" w:rsidRDefault="003E5439" w14:paraId="0DD5D590" w14:textId="77777777">
      <w:pPr>
        <w:pStyle w:val="BodyTextFirstIndent"/>
        <w:ind w:right="0"/>
      </w:pPr>
      <w:r>
        <w:t>“</w:t>
      </w:r>
      <w:r>
        <w:rPr>
          <w:u w:val="single"/>
        </w:rPr>
        <w:t>Event of Default</w:t>
      </w:r>
      <w:r>
        <w:t xml:space="preserve">” shall have the meaning set forth in </w:t>
      </w:r>
      <w:r>
        <w:rPr>
          <w:u w:val="single"/>
        </w:rPr>
        <w:t>Article 12</w:t>
      </w:r>
      <w:r>
        <w:t>.</w:t>
      </w:r>
    </w:p>
    <w:p w:rsidR="0079779A" w:rsidRDefault="003E5439" w14:paraId="5F6E9B99" w14:textId="77777777">
      <w:pPr>
        <w:pStyle w:val="BodyTextFirstIndent"/>
        <w:ind w:right="0"/>
        <w:rPr>
          <w:lang w:val="en-US"/>
        </w:rPr>
      </w:pPr>
      <w:r>
        <w:rPr>
          <w:lang w:val="en-US"/>
        </w:rPr>
        <w:t xml:space="preserve"> [“</w:t>
      </w:r>
      <w:r>
        <w:rPr>
          <w:u w:val="single"/>
          <w:lang w:val="en-US"/>
        </w:rPr>
        <w:t>Excess Throughput Limit</w:t>
      </w:r>
      <w:r>
        <w:rPr>
          <w:lang w:val="en-US"/>
        </w:rPr>
        <w:t>” means [</w:t>
      </w:r>
      <w:r>
        <w:rPr>
          <w:highlight w:val="yellow"/>
          <w:lang w:val="en-US"/>
        </w:rPr>
        <w:t>__</w:t>
      </w:r>
      <w:r>
        <w:rPr>
          <w:lang w:val="en-US"/>
        </w:rPr>
        <w:t xml:space="preserve">] MWh.] </w:t>
      </w:r>
      <w:r>
        <w:rPr>
          <w:b/>
          <w:i/>
        </w:rPr>
        <w:t>bid-</w:t>
      </w:r>
      <w:proofErr w:type="gramStart"/>
      <w:r>
        <w:rPr>
          <w:b/>
          <w:i/>
        </w:rPr>
        <w:t>specific  --</w:t>
      </w:r>
      <w:proofErr w:type="gramEnd"/>
      <w:r>
        <w:rPr>
          <w:b/>
          <w:i/>
        </w:rPr>
        <w:t xml:space="preserve">  may be n/a</w:t>
      </w:r>
      <w:r>
        <w:rPr>
          <w:i/>
        </w:rPr>
        <w:t xml:space="preserve"> </w:t>
      </w:r>
      <w:r>
        <w:t xml:space="preserve"> </w:t>
      </w:r>
    </w:p>
    <w:p w:rsidR="0079779A" w:rsidRDefault="003E5439" w14:paraId="315435D1" w14:textId="77777777">
      <w:pPr>
        <w:pStyle w:val="BodyTextFirstIndent"/>
        <w:ind w:right="0"/>
        <w:rPr>
          <w:rFonts w:cs="Arial"/>
          <w:bCs/>
          <w:noProof/>
          <w:color w:val="000000"/>
          <w:lang w:val="en-US"/>
        </w:rPr>
      </w:pPr>
      <w:r>
        <w:rPr>
          <w:rFonts w:cs="Arial"/>
          <w:bCs/>
          <w:noProof/>
          <w:color w:val="000000"/>
        </w:rPr>
        <w:t>“</w:t>
      </w:r>
      <w:r>
        <w:rPr>
          <w:rFonts w:cs="Arial"/>
          <w:bCs/>
          <w:noProof/>
          <w:color w:val="000000"/>
          <w:u w:val="single"/>
        </w:rPr>
        <w:t>Excused Outage</w:t>
      </w:r>
      <w:r>
        <w:rPr>
          <w:rFonts w:cs="Arial"/>
          <w:bCs/>
          <w:noProof/>
          <w:color w:val="000000"/>
        </w:rPr>
        <w:t xml:space="preserve">” means any Outage of the Battery Storage System resulting from: (i) a </w:t>
      </w:r>
      <w:r>
        <w:rPr>
          <w:rFonts w:cs="Arial"/>
          <w:bCs/>
          <w:noProof/>
          <w:color w:val="000000"/>
          <w:lang w:val="en-US"/>
        </w:rPr>
        <w:t xml:space="preserve">Battery Storage System </w:t>
      </w:r>
      <w:r>
        <w:rPr>
          <w:rFonts w:cs="Arial"/>
          <w:bCs/>
          <w:noProof/>
          <w:color w:val="000000"/>
        </w:rPr>
        <w:t>Planned Outage; (</w:t>
      </w:r>
      <w:r>
        <w:rPr>
          <w:rFonts w:cs="Arial"/>
          <w:bCs/>
          <w:noProof/>
          <w:color w:val="000000"/>
          <w:lang w:val="en-US"/>
        </w:rPr>
        <w:t>i</w:t>
      </w:r>
      <w:r>
        <w:rPr>
          <w:rFonts w:cs="Arial"/>
          <w:bCs/>
          <w:noProof/>
          <w:color w:val="000000"/>
        </w:rPr>
        <w:t>i) Force Majeure</w:t>
      </w:r>
      <w:r>
        <w:rPr>
          <w:rFonts w:cs="Arial"/>
          <w:bCs/>
          <w:noProof/>
          <w:color w:val="000000"/>
          <w:lang w:val="en-US"/>
        </w:rPr>
        <w:t xml:space="preserve"> or Emergency</w:t>
      </w:r>
      <w:r>
        <w:rPr>
          <w:rFonts w:cs="Arial"/>
          <w:bCs/>
          <w:noProof/>
          <w:color w:val="000000"/>
        </w:rPr>
        <w:t>; (ii</w:t>
      </w:r>
      <w:r>
        <w:rPr>
          <w:rFonts w:cs="Arial"/>
          <w:bCs/>
          <w:noProof/>
          <w:color w:val="000000"/>
          <w:lang w:val="en-US"/>
        </w:rPr>
        <w:t>i</w:t>
      </w:r>
      <w:r>
        <w:rPr>
          <w:rFonts w:cs="Arial"/>
          <w:bCs/>
          <w:noProof/>
          <w:color w:val="000000"/>
        </w:rPr>
        <w:t>) a breach of this Agreement by Company; (i</w:t>
      </w:r>
      <w:r>
        <w:rPr>
          <w:rFonts w:cs="Arial"/>
          <w:bCs/>
          <w:noProof/>
          <w:color w:val="000000"/>
          <w:lang w:val="en-US"/>
        </w:rPr>
        <w:t>v</w:t>
      </w:r>
      <w:r>
        <w:rPr>
          <w:rFonts w:cs="Arial"/>
          <w:bCs/>
          <w:noProof/>
          <w:color w:val="000000"/>
        </w:rPr>
        <w:t>) insufficent stored energy not caused by any act or omission of Seller</w:t>
      </w:r>
      <w:r>
        <w:rPr>
          <w:rFonts w:cs="Arial"/>
          <w:bCs/>
          <w:noProof/>
          <w:color w:val="000000"/>
          <w:lang w:val="en-US"/>
        </w:rPr>
        <w:t>; (v) an Outage resulting from a request by Company; (vii) any Outage where Seller failed to comply with a dispatch that was not in accordance with the Battery Storage System Operating Procedures</w:t>
      </w:r>
      <w:r>
        <w:rPr>
          <w:rFonts w:cs="Arial"/>
          <w:bCs/>
          <w:noProof/>
          <w:color w:val="000000"/>
        </w:rPr>
        <w:t>.</w:t>
      </w:r>
    </w:p>
    <w:p w:rsidR="0079779A" w:rsidRDefault="003E5439" w14:paraId="06A168B9" w14:textId="77777777">
      <w:pPr>
        <w:pStyle w:val="BodyTextFirstIndent"/>
        <w:ind w:right="0"/>
      </w:pPr>
      <w:r>
        <w:t>“</w:t>
      </w:r>
      <w:r>
        <w:rPr>
          <w:u w:val="single"/>
        </w:rPr>
        <w:t>Facility</w:t>
      </w:r>
      <w:r>
        <w:t xml:space="preserve">” means </w:t>
      </w:r>
      <w:r>
        <w:rPr>
          <w:lang w:val="en-US"/>
        </w:rPr>
        <w:t xml:space="preserve">the Battery Storage System, </w:t>
      </w:r>
      <w:r>
        <w:t xml:space="preserve">and all equipment necessary to interconnect to the Transmission Authority’s System, all as further described in </w:t>
      </w:r>
      <w:r>
        <w:rPr>
          <w:u w:val="single"/>
        </w:rPr>
        <w:t>Exhibit C – Facility Description and Site Maps</w:t>
      </w:r>
      <w:r>
        <w:t xml:space="preserve">, including Seller’s rights to the Site and all of the following:  </w:t>
      </w:r>
      <w:r>
        <w:rPr>
          <w:lang w:val="en-US"/>
        </w:rPr>
        <w:t xml:space="preserve">the Battery Units, </w:t>
      </w:r>
      <w:r>
        <w:t>buildings, step-up transformers, output breakers, facilities necessary to connect to the Interconnection Point, protective and associated equipment, improvements, and other tangible and intangible assets, contract rights, Permits, easements, rights of way, surface use agreements and other interests or rights in real estate, owned or used for construction, operation, maintenance and delivery of the capacity and energy subject to this PPA.</w:t>
      </w:r>
    </w:p>
    <w:p w:rsidR="0079779A" w:rsidRDefault="003E5439" w14:paraId="793B33DB" w14:textId="77777777">
      <w:pPr>
        <w:pStyle w:val="BodyTextFirstIndent"/>
        <w:ind w:right="0"/>
      </w:pPr>
      <w:r>
        <w:t>“</w:t>
      </w:r>
      <w:r>
        <w:rPr>
          <w:u w:val="single"/>
          <w:lang w:val="en-US"/>
        </w:rPr>
        <w:t xml:space="preserve">Facility </w:t>
      </w:r>
      <w:r>
        <w:rPr>
          <w:u w:val="single"/>
        </w:rPr>
        <w:t>Debt</w:t>
      </w:r>
      <w:r>
        <w:t>” means the obligations of Seller or its Affiliates to any lender or tax equity investor pursuant to the Financing Documents, including principal of, premium and interest on indebtedness, fees, expenses or penalties, amounts due upon acceleration, prepayment or restructuring, swap or interest rate hedging breakage costs and any fees or interest due with respect to any of the foregoing.</w:t>
      </w:r>
    </w:p>
    <w:p w:rsidR="0079779A" w:rsidRDefault="003E5439" w14:paraId="6F4150AB" w14:textId="77777777">
      <w:pPr>
        <w:pStyle w:val="BodyTextFirstIndent"/>
        <w:ind w:right="0"/>
        <w:rPr>
          <w:lang w:val="en-US"/>
        </w:rPr>
      </w:pPr>
      <w:r>
        <w:t>“</w:t>
      </w:r>
      <w:r>
        <w:rPr>
          <w:u w:val="single"/>
          <w:lang w:val="en-US"/>
        </w:rPr>
        <w:t xml:space="preserve">Facility </w:t>
      </w:r>
      <w:r>
        <w:rPr>
          <w:u w:val="single"/>
        </w:rPr>
        <w:t>Lender</w:t>
      </w:r>
      <w:r>
        <w:t xml:space="preserve">” means, collectively, any lenders or tax equity investors providing </w:t>
      </w:r>
      <w:r>
        <w:rPr>
          <w:lang w:val="en-US"/>
        </w:rPr>
        <w:t xml:space="preserve">Facility </w:t>
      </w:r>
      <w:r>
        <w:t>Debt, including any successors or assigns thereof.</w:t>
      </w:r>
    </w:p>
    <w:p w:rsidR="0079779A" w:rsidRDefault="003E5439" w14:paraId="37C0908E" w14:textId="77777777">
      <w:pPr>
        <w:pStyle w:val="BodyTextFirstIndent"/>
        <w:ind w:right="0"/>
      </w:pPr>
      <w:r>
        <w:t>"</w:t>
      </w:r>
      <w:r>
        <w:rPr>
          <w:u w:val="single"/>
        </w:rPr>
        <w:t>Federal Power Act</w:t>
      </w:r>
      <w:r>
        <w:t xml:space="preserve">" means the provisions of 16 U.S.C. </w:t>
      </w:r>
      <w:r>
        <w:rPr>
          <w:rFonts w:cs="Arial"/>
        </w:rPr>
        <w:t>§</w:t>
      </w:r>
      <w:r>
        <w:t xml:space="preserve">791(A) </w:t>
      </w:r>
      <w:r>
        <w:rPr>
          <w:i/>
        </w:rPr>
        <w:t>et seq</w:t>
      </w:r>
      <w:r>
        <w:t>. and amendments or supplements thereto.</w:t>
      </w:r>
    </w:p>
    <w:p w:rsidR="0079779A" w:rsidRDefault="003E5439" w14:paraId="717668BB" w14:textId="77777777">
      <w:pPr>
        <w:pStyle w:val="BodyTextFirstIndent"/>
        <w:ind w:right="0"/>
      </w:pPr>
      <w:r>
        <w:lastRenderedPageBreak/>
        <w:t>“</w:t>
      </w:r>
      <w:r>
        <w:rPr>
          <w:u w:val="single"/>
        </w:rPr>
        <w:t>FERC</w:t>
      </w:r>
      <w:r>
        <w:t>” means the Federal Energy Regulatory Commission or any successor agency.</w:t>
      </w:r>
    </w:p>
    <w:p w:rsidR="0079779A" w:rsidRDefault="003E5439" w14:paraId="669CC345" w14:textId="77777777">
      <w:pPr>
        <w:pStyle w:val="BodyTextFirstIndent"/>
        <w:ind w:right="0"/>
      </w:pPr>
      <w:r>
        <w:t>“</w:t>
      </w:r>
      <w:r>
        <w:rPr>
          <w:u w:val="single"/>
        </w:rPr>
        <w:t>Financing Documents</w:t>
      </w:r>
      <w:r>
        <w:t>” means the loan and credit agreements, notes, bonds, indentures, security agreements, lease financing agreements, mortgages, deeds of trust, interest rate exchanges, swap agreements and other documents relating to the development, bridge, construction or permanent debt financing and/or tax equity financing for the Facility, including any credit enhancement, credit support, working capital financing, or refinancing documents, and any and all amendments, modifications, or supplements to the foregoing that may be entered into from time to time at the discretion of Seller in connection with development, construction, ownership, leasing, operation or maintenance of the Facility.</w:t>
      </w:r>
    </w:p>
    <w:p w:rsidR="0079779A" w:rsidRDefault="003E5439" w14:paraId="26FC194A" w14:textId="77777777">
      <w:pPr>
        <w:pStyle w:val="BodyTextFirstIndent"/>
        <w:ind w:right="0"/>
        <w:rPr>
          <w:rFonts w:cs="Arial"/>
        </w:rPr>
      </w:pPr>
      <w:r>
        <w:t>“</w:t>
      </w:r>
      <w:r>
        <w:rPr>
          <w:u w:val="single"/>
          <w:lang w:val="en-US"/>
        </w:rPr>
        <w:t>Force Majeure</w:t>
      </w:r>
      <w:r>
        <w:t>”</w:t>
      </w:r>
      <w:r>
        <w:rPr>
          <w:lang w:val="en-US"/>
        </w:rPr>
        <w:t xml:space="preserve"> </w:t>
      </w:r>
      <w:r>
        <w:rPr>
          <w:rFonts w:cs="Arial"/>
        </w:rPr>
        <w:t xml:space="preserve">shall have the meaning set forth in </w:t>
      </w:r>
      <w:r>
        <w:rPr>
          <w:rFonts w:cs="Arial"/>
          <w:u w:val="single"/>
        </w:rPr>
        <w:t xml:space="preserve">Section </w:t>
      </w:r>
      <w:r>
        <w:rPr>
          <w:rFonts w:cs="Arial"/>
          <w:u w:val="single"/>
          <w:lang w:val="en-US"/>
        </w:rPr>
        <w:t>14.1</w:t>
      </w:r>
      <w:r>
        <w:rPr>
          <w:rFonts w:cs="Arial"/>
        </w:rPr>
        <w:t>.</w:t>
      </w:r>
      <w:r>
        <w:rPr>
          <w:lang w:val="en-US"/>
        </w:rPr>
        <w:t xml:space="preserve"> </w:t>
      </w:r>
    </w:p>
    <w:p w:rsidR="0079779A" w:rsidRDefault="003E5439" w14:paraId="306302F3" w14:textId="77777777">
      <w:pPr>
        <w:pStyle w:val="BodyText"/>
        <w:ind w:firstLine="720"/>
        <w:jc w:val="both"/>
        <w:rPr>
          <w:lang w:val="en-US"/>
        </w:rPr>
      </w:pPr>
      <w:r>
        <w:rPr>
          <w:lang w:val="en-US"/>
        </w:rPr>
        <w:t>“</w:t>
      </w:r>
      <w:r>
        <w:rPr>
          <w:u w:val="single"/>
          <w:lang w:val="en-US"/>
        </w:rPr>
        <w:t>Forced Outage</w:t>
      </w:r>
      <w:r>
        <w:rPr>
          <w:lang w:val="en-US"/>
        </w:rPr>
        <w:t xml:space="preserve">” means any condition at the Facility that requires the immediate and unplanned removal of at least ten percent of the capacity of the Battery Storage System from service, or that results in a material deviation from the Guaranteed Performance identified in </w:t>
      </w:r>
      <w:r>
        <w:rPr>
          <w:u w:val="single"/>
          <w:lang w:val="en-US"/>
        </w:rPr>
        <w:t>Exhibit M</w:t>
      </w:r>
      <w:r>
        <w:rPr>
          <w:rFonts w:ascii="Cambria Math" w:hAnsi="Cambria Math" w:cs="Cambria Math"/>
          <w:u w:val="single"/>
          <w:lang w:val="en-US"/>
        </w:rPr>
        <w:t>‐</w:t>
      </w:r>
      <w:r>
        <w:rPr>
          <w:u w:val="single"/>
          <w:lang w:val="en-US"/>
        </w:rPr>
        <w:t xml:space="preserve">1 </w:t>
      </w:r>
      <w:r>
        <w:rPr>
          <w:rFonts w:cs="Arial"/>
          <w:u w:val="single"/>
          <w:lang w:val="en-US"/>
        </w:rPr>
        <w:t>–</w:t>
      </w:r>
      <w:r>
        <w:rPr>
          <w:u w:val="single"/>
          <w:lang w:val="en-US"/>
        </w:rPr>
        <w:t xml:space="preserve"> Battery Storage System Guaranteed Performance Levels</w:t>
      </w:r>
      <w:r>
        <w:rPr>
          <w:lang w:val="en-US"/>
        </w:rPr>
        <w:t>, another outage state, or a reserve shutdown state, resulting from immediate mechanical/electrical/hydraulic control system trips and operator-initiated trips in response to abnormal Facility conditions or alarms.</w:t>
      </w:r>
    </w:p>
    <w:p w:rsidR="0079779A" w:rsidRDefault="003E5439" w14:paraId="617500AA" w14:textId="77777777">
      <w:pPr>
        <w:pStyle w:val="BodyTextFirstIndent"/>
        <w:ind w:right="0"/>
      </w:pPr>
      <w:r>
        <w:t>“</w:t>
      </w:r>
      <w:r>
        <w:rPr>
          <w:u w:val="single"/>
        </w:rPr>
        <w:t>Good Utility Practices</w:t>
      </w:r>
      <w:r>
        <w:t>” means the practices, methods, standards and acts engaged in or approved by a significant portion of the applicable segment of the electric power generation</w:t>
      </w:r>
      <w:r>
        <w:rPr>
          <w:lang w:val="en-US"/>
        </w:rPr>
        <w:t xml:space="preserve"> and storage</w:t>
      </w:r>
      <w:r>
        <w:t xml:space="preserve"> industry pertaining to facilities of the type, similar size and location to the Facility that, at a particular time, in the exercise of Commercially Reasonable judgment, in light of the facts that are known (or reasonably should have been known) at the time a decision was made, would have been expected to accomplish the desired result in a manner consistent with Applicable Law, Permits, codes, standards, equipment manufacturer’s recommendations, reliability, safety, environmental protection, economy, and expedition.  Good Utility Practices is not limited to the optimum practice, method, standard or act to the exclusion of all others, but rather to those practices, methods, standards and acts generally acceptable or approved by a significant portion of the applicable segment of the electric power generation </w:t>
      </w:r>
      <w:r>
        <w:rPr>
          <w:lang w:val="en-US"/>
        </w:rPr>
        <w:t xml:space="preserve">and storage </w:t>
      </w:r>
      <w:r>
        <w:t>industry in the relevant region, during the relevant period.</w:t>
      </w:r>
    </w:p>
    <w:p w:rsidR="0079779A" w:rsidRDefault="003E5439" w14:paraId="60A7522C" w14:textId="77777777">
      <w:pPr>
        <w:pStyle w:val="BodyTextFirstIndent"/>
        <w:ind w:right="0"/>
      </w:pPr>
      <w:r>
        <w:t>“</w:t>
      </w:r>
      <w:r>
        <w:rPr>
          <w:u w:val="single"/>
        </w:rPr>
        <w:t>Governmental Authority</w:t>
      </w:r>
      <w:r>
        <w:t xml:space="preserve">” means any federal, state, local or municipal governmental body; any governmental, quasi-governmental, regulatory or administrative agency, commission, body or other authority exercising or entitled to exercise any administrative, executive, judicial, legislative, policy, regulatory or taxing authority or power; and/or any court or governmental tribunal.  By way of example only, “Governmental Authorities” include NERC, </w:t>
      </w:r>
      <w:r>
        <w:rPr>
          <w:lang w:val="en-US"/>
        </w:rPr>
        <w:t xml:space="preserve">the </w:t>
      </w:r>
      <w:r>
        <w:t xml:space="preserve">ERO, </w:t>
      </w:r>
      <w:r>
        <w:rPr>
          <w:lang w:val="en-US"/>
        </w:rPr>
        <w:t xml:space="preserve">the Market Operator (if any), </w:t>
      </w:r>
      <w:r>
        <w:t>an applicable PUC, the Transmission Authority</w:t>
      </w:r>
      <w:r>
        <w:rPr>
          <w:lang w:val="en-US"/>
        </w:rPr>
        <w:t xml:space="preserve"> and</w:t>
      </w:r>
      <w:r>
        <w:t xml:space="preserve"> FERC, and successor organizations.</w:t>
      </w:r>
    </w:p>
    <w:p w:rsidR="0079779A" w:rsidRDefault="003E5439" w14:paraId="0E0848B7" w14:textId="77777777">
      <w:pPr>
        <w:pStyle w:val="BodyTextFirstIndent"/>
        <w:ind w:right="0"/>
        <w:rPr>
          <w:lang w:val="en-US"/>
        </w:rPr>
      </w:pPr>
      <w:r>
        <w:rPr>
          <w:lang w:val="en-US"/>
        </w:rPr>
        <w:t>“</w:t>
      </w:r>
      <w:r>
        <w:rPr>
          <w:u w:val="single"/>
          <w:lang w:val="en-US"/>
        </w:rPr>
        <w:t>Grid Charging Capability</w:t>
      </w:r>
      <w:r>
        <w:rPr>
          <w:lang w:val="en-US"/>
        </w:rPr>
        <w:t xml:space="preserve">” shall have the meaning set forth in </w:t>
      </w:r>
      <w:r>
        <w:rPr>
          <w:u w:val="single"/>
        </w:rPr>
        <w:t xml:space="preserve">Exhibit M – </w:t>
      </w:r>
      <w:r>
        <w:rPr>
          <w:u w:val="single"/>
          <w:lang w:val="en-US"/>
        </w:rPr>
        <w:t xml:space="preserve">Battery Storage System </w:t>
      </w:r>
      <w:r>
        <w:rPr>
          <w:u w:val="single"/>
        </w:rPr>
        <w:t>Testing Protocols</w:t>
      </w:r>
      <w:r>
        <w:rPr>
          <w:lang w:val="en-US"/>
        </w:rPr>
        <w:t>.</w:t>
      </w:r>
    </w:p>
    <w:p w:rsidR="0079779A" w:rsidRDefault="003E5439" w14:paraId="6EDA4914" w14:textId="77777777">
      <w:pPr>
        <w:pStyle w:val="BodyTextFirstIndent"/>
        <w:ind w:right="0"/>
        <w:rPr>
          <w:lang w:val="en-US"/>
        </w:rPr>
      </w:pPr>
      <w:r>
        <w:rPr>
          <w:lang w:val="en-US"/>
        </w:rPr>
        <w:lastRenderedPageBreak/>
        <w:t xml:space="preserve"> “</w:t>
      </w:r>
      <w:r>
        <w:rPr>
          <w:u w:val="single"/>
          <w:lang w:val="en-US"/>
        </w:rPr>
        <w:t>Guaranteed Maximum Charging Rate</w:t>
      </w:r>
      <w:r>
        <w:rPr>
          <w:lang w:val="en-US"/>
        </w:rPr>
        <w:t xml:space="preserve">” shall have the meaning set forth in </w:t>
      </w:r>
      <w:r>
        <w:rPr>
          <w:u w:val="single"/>
        </w:rPr>
        <w:t>Exhibit M-1 –</w:t>
      </w:r>
      <w:r>
        <w:rPr>
          <w:rFonts w:cs="Arial"/>
          <w:u w:val="single"/>
        </w:rPr>
        <w:t xml:space="preserve"> </w:t>
      </w:r>
      <w:r>
        <w:rPr>
          <w:rFonts w:cs="Arial"/>
          <w:u w:val="single"/>
          <w:lang w:val="en-US"/>
        </w:rPr>
        <w:t>Battery Storage System</w:t>
      </w:r>
      <w:r>
        <w:rPr>
          <w:u w:val="single"/>
          <w:lang w:val="en-US"/>
        </w:rPr>
        <w:t xml:space="preserve"> </w:t>
      </w:r>
      <w:r>
        <w:rPr>
          <w:u w:val="single"/>
        </w:rPr>
        <w:t>Guaranteed Performance Levels</w:t>
      </w:r>
      <w:r>
        <w:rPr>
          <w:lang w:val="en-US"/>
        </w:rPr>
        <w:t>.</w:t>
      </w:r>
    </w:p>
    <w:p w:rsidR="0079779A" w:rsidRDefault="003E5439" w14:paraId="473271BC" w14:textId="77777777">
      <w:pPr>
        <w:pStyle w:val="BodyTextFirstIndent"/>
        <w:ind w:right="0"/>
        <w:rPr>
          <w:rFonts w:cs="Arial"/>
          <w:lang w:val="en-US"/>
        </w:rPr>
      </w:pPr>
      <w:r>
        <w:rPr>
          <w:lang w:val="en-US"/>
        </w:rPr>
        <w:t xml:space="preserve"> “</w:t>
      </w:r>
      <w:r>
        <w:rPr>
          <w:u w:val="single"/>
          <w:lang w:val="en-US"/>
        </w:rPr>
        <w:t>Guaranteed Maximum Discharging Rate</w:t>
      </w:r>
      <w:r>
        <w:rPr>
          <w:lang w:val="en-US"/>
        </w:rPr>
        <w:t xml:space="preserve">” shall have the meaning set forth in </w:t>
      </w:r>
      <w:r>
        <w:rPr>
          <w:u w:val="single"/>
        </w:rPr>
        <w:t xml:space="preserve">Exhibit M-1 – </w:t>
      </w:r>
      <w:r>
        <w:rPr>
          <w:rFonts w:cs="Arial"/>
          <w:u w:val="single"/>
          <w:lang w:val="en-US"/>
        </w:rPr>
        <w:t xml:space="preserve">Battery Storage System </w:t>
      </w:r>
      <w:r>
        <w:rPr>
          <w:u w:val="single"/>
        </w:rPr>
        <w:t>Guaranteed Performance Levels</w:t>
      </w:r>
      <w:r>
        <w:rPr>
          <w:lang w:val="en-US"/>
        </w:rPr>
        <w:t>.</w:t>
      </w:r>
    </w:p>
    <w:p w:rsidR="0079779A" w:rsidRDefault="003E5439" w14:paraId="754221AB" w14:textId="77777777">
      <w:pPr>
        <w:pStyle w:val="BodyTextFirstIndent"/>
        <w:ind w:right="0"/>
        <w:rPr>
          <w:lang w:val="en-US"/>
        </w:rPr>
      </w:pPr>
      <w:r>
        <w:rPr>
          <w:rFonts w:cs="Arial"/>
          <w:lang w:val="en-US"/>
        </w:rPr>
        <w:t>“</w:t>
      </w:r>
      <w:r>
        <w:rPr>
          <w:rFonts w:cs="Arial"/>
          <w:u w:val="single"/>
          <w:lang w:val="en-US"/>
        </w:rPr>
        <w:t>Guaranteed Minimum Charging Time</w:t>
      </w:r>
      <w:r>
        <w:rPr>
          <w:rFonts w:cs="Arial"/>
          <w:lang w:val="en-US"/>
        </w:rPr>
        <w:t xml:space="preserve">” shall have the meaning set forth in </w:t>
      </w:r>
      <w:r>
        <w:rPr>
          <w:rFonts w:cs="Arial"/>
          <w:u w:val="single"/>
        </w:rPr>
        <w:t xml:space="preserve">Exhibit M-1 – </w:t>
      </w:r>
      <w:r>
        <w:rPr>
          <w:rFonts w:cs="Arial"/>
          <w:u w:val="single"/>
          <w:lang w:val="en-US"/>
        </w:rPr>
        <w:t xml:space="preserve">Battery Storage System </w:t>
      </w:r>
      <w:r>
        <w:rPr>
          <w:u w:val="single"/>
        </w:rPr>
        <w:t>Guaranteed Performance Levels</w:t>
      </w:r>
      <w:r>
        <w:rPr>
          <w:lang w:val="en-US"/>
        </w:rPr>
        <w:t>.</w:t>
      </w:r>
    </w:p>
    <w:p w:rsidR="0079779A" w:rsidRDefault="003E5439" w14:paraId="05129E4D" w14:textId="77777777">
      <w:pPr>
        <w:pStyle w:val="BodyTextFirstIndent"/>
        <w:ind w:right="0"/>
        <w:rPr>
          <w:rFonts w:cs="Arial"/>
          <w:lang w:val="en-US"/>
        </w:rPr>
      </w:pPr>
      <w:r>
        <w:rPr>
          <w:lang w:val="en-US"/>
        </w:rPr>
        <w:t>“</w:t>
      </w:r>
      <w:r>
        <w:rPr>
          <w:u w:val="single"/>
          <w:lang w:val="en-US"/>
        </w:rPr>
        <w:t xml:space="preserve">Guaranteed </w:t>
      </w:r>
      <w:r>
        <w:rPr>
          <w:rFonts w:cs="Arial"/>
          <w:u w:val="single"/>
          <w:lang w:val="en-US"/>
        </w:rPr>
        <w:t>Minimum Discharging Time</w:t>
      </w:r>
      <w:r>
        <w:rPr>
          <w:lang w:val="en-US"/>
        </w:rPr>
        <w:t xml:space="preserve">” shall have the meaning set forth in </w:t>
      </w:r>
      <w:r>
        <w:rPr>
          <w:u w:val="single"/>
        </w:rPr>
        <w:t xml:space="preserve">Exhibit M-1 – </w:t>
      </w:r>
      <w:r>
        <w:rPr>
          <w:rFonts w:cs="Arial"/>
          <w:u w:val="single"/>
          <w:lang w:val="en-US"/>
        </w:rPr>
        <w:t xml:space="preserve">Battery Storage System </w:t>
      </w:r>
      <w:r>
        <w:rPr>
          <w:rFonts w:cs="Arial"/>
          <w:u w:val="single"/>
        </w:rPr>
        <w:t>Guaranteed Performance Levels</w:t>
      </w:r>
      <w:r>
        <w:rPr>
          <w:rFonts w:cs="Arial"/>
          <w:lang w:val="en-US"/>
        </w:rPr>
        <w:t>.</w:t>
      </w:r>
    </w:p>
    <w:p w:rsidR="0079779A" w:rsidRDefault="003E5439" w14:paraId="364FA925" w14:textId="77777777">
      <w:pPr>
        <w:pStyle w:val="BodyTextFirstIndent"/>
        <w:ind w:right="0"/>
        <w:rPr>
          <w:rFonts w:cs="Arial"/>
          <w:lang w:val="en-US"/>
        </w:rPr>
      </w:pPr>
      <w:r>
        <w:rPr>
          <w:rFonts w:cs="Arial"/>
          <w:lang w:val="en-US"/>
        </w:rPr>
        <w:t xml:space="preserve"> “</w:t>
      </w:r>
      <w:r>
        <w:rPr>
          <w:rFonts w:cs="Arial"/>
          <w:u w:val="single"/>
          <w:lang w:val="en-US"/>
        </w:rPr>
        <w:t>Guaranteed Performance</w:t>
      </w:r>
      <w:r>
        <w:rPr>
          <w:rFonts w:cs="Arial"/>
          <w:lang w:val="en-US"/>
        </w:rPr>
        <w:t xml:space="preserve">” shall have the meaning set forth in </w:t>
      </w:r>
      <w:r>
        <w:rPr>
          <w:rFonts w:cs="Arial"/>
          <w:u w:val="single"/>
        </w:rPr>
        <w:t xml:space="preserve">Exhibit M-1 – </w:t>
      </w:r>
      <w:r>
        <w:rPr>
          <w:rFonts w:cs="Arial"/>
          <w:u w:val="single"/>
          <w:lang w:val="en-US"/>
        </w:rPr>
        <w:t xml:space="preserve">Battery Storage System </w:t>
      </w:r>
      <w:r>
        <w:rPr>
          <w:rFonts w:cs="Arial"/>
          <w:u w:val="single"/>
        </w:rPr>
        <w:t>Guaranteed Performance Levels</w:t>
      </w:r>
      <w:r>
        <w:rPr>
          <w:rFonts w:cs="Arial"/>
          <w:lang w:val="en-US"/>
        </w:rPr>
        <w:t>.</w:t>
      </w:r>
    </w:p>
    <w:p w:rsidR="0079779A" w:rsidRDefault="003E5439" w14:paraId="2918BA9F" w14:textId="77777777">
      <w:pPr>
        <w:pStyle w:val="BodyTextFirstIndent"/>
        <w:ind w:right="0"/>
        <w:rPr>
          <w:rFonts w:cs="Arial"/>
          <w:lang w:val="en-US"/>
        </w:rPr>
      </w:pPr>
      <w:r>
        <w:rPr>
          <w:rFonts w:cs="Arial"/>
          <w:lang w:val="en-US"/>
        </w:rPr>
        <w:t>“</w:t>
      </w:r>
      <w:r>
        <w:rPr>
          <w:rFonts w:cs="Arial"/>
          <w:u w:val="single"/>
          <w:lang w:val="en-US"/>
        </w:rPr>
        <w:t>Guaranteed Response Time</w:t>
      </w:r>
      <w:r>
        <w:rPr>
          <w:rFonts w:cs="Arial"/>
          <w:lang w:val="en-US"/>
        </w:rPr>
        <w:t xml:space="preserve">” shall have the meaning set forth in </w:t>
      </w:r>
      <w:r>
        <w:rPr>
          <w:rFonts w:cs="Arial"/>
          <w:u w:val="single"/>
        </w:rPr>
        <w:t xml:space="preserve">Exhibit M-1 – </w:t>
      </w:r>
      <w:r>
        <w:rPr>
          <w:rFonts w:cs="Arial"/>
          <w:u w:val="single"/>
          <w:lang w:val="en-US"/>
        </w:rPr>
        <w:t xml:space="preserve">Battery Storage System </w:t>
      </w:r>
      <w:r>
        <w:rPr>
          <w:rFonts w:cs="Arial"/>
          <w:u w:val="single"/>
        </w:rPr>
        <w:t>Guaranteed Performance Levels</w:t>
      </w:r>
      <w:r>
        <w:rPr>
          <w:rFonts w:cs="Arial"/>
          <w:lang w:val="en-US"/>
        </w:rPr>
        <w:t>.</w:t>
      </w:r>
    </w:p>
    <w:p w:rsidR="0079779A" w:rsidRDefault="003E5439" w14:paraId="34BC38DC" w14:textId="77777777">
      <w:pPr>
        <w:pStyle w:val="BodyTextFirstIndent"/>
        <w:ind w:right="0"/>
        <w:rPr>
          <w:rFonts w:cs="Arial"/>
          <w:lang w:val="en-US"/>
        </w:rPr>
      </w:pPr>
      <w:r>
        <w:rPr>
          <w:lang w:val="en-US"/>
        </w:rPr>
        <w:t>“</w:t>
      </w:r>
      <w:r>
        <w:rPr>
          <w:u w:val="single"/>
          <w:lang w:val="en-US"/>
        </w:rPr>
        <w:t>Guaranteed Round Trip Efficiency</w:t>
      </w:r>
      <w:r>
        <w:rPr>
          <w:lang w:val="en-US"/>
        </w:rPr>
        <w:t xml:space="preserve">” shall have the meaning set forth in </w:t>
      </w:r>
      <w:r>
        <w:rPr>
          <w:u w:val="single"/>
        </w:rPr>
        <w:t xml:space="preserve">Exhibit M-1 – </w:t>
      </w:r>
      <w:r>
        <w:rPr>
          <w:rFonts w:cs="Arial"/>
          <w:u w:val="single"/>
          <w:lang w:val="en-US"/>
        </w:rPr>
        <w:t xml:space="preserve">Battery Storage System </w:t>
      </w:r>
      <w:r>
        <w:rPr>
          <w:u w:val="single"/>
        </w:rPr>
        <w:t>Guaranteed Performance Levels</w:t>
      </w:r>
      <w:r>
        <w:rPr>
          <w:lang w:val="en-US"/>
        </w:rPr>
        <w:t>.</w:t>
      </w:r>
      <w:r>
        <w:rPr>
          <w:rFonts w:cs="Arial"/>
          <w:lang w:val="en-US"/>
        </w:rPr>
        <w:t xml:space="preserve"> </w:t>
      </w:r>
    </w:p>
    <w:p w:rsidR="0079779A" w:rsidRDefault="003E5439" w14:paraId="33DE1442" w14:textId="77777777">
      <w:pPr>
        <w:pStyle w:val="BodyTextFirstIndent"/>
        <w:ind w:right="0"/>
        <w:rPr>
          <w:rFonts w:cs="Arial"/>
          <w:lang w:val="en-US"/>
        </w:rPr>
      </w:pPr>
      <w:r>
        <w:rPr>
          <w:rFonts w:cs="Arial"/>
          <w:lang w:val="en-US"/>
        </w:rPr>
        <w:t>“</w:t>
      </w:r>
      <w:r>
        <w:rPr>
          <w:rFonts w:cs="Arial"/>
          <w:u w:val="single"/>
          <w:lang w:val="en-US"/>
        </w:rPr>
        <w:t>Guaranteed Storage Availability</w:t>
      </w:r>
      <w:r>
        <w:rPr>
          <w:rFonts w:cs="Arial"/>
          <w:lang w:val="en-US"/>
        </w:rPr>
        <w:t xml:space="preserve">” shall have the meaning set forth in </w:t>
      </w:r>
      <w:r>
        <w:rPr>
          <w:rFonts w:cs="Arial"/>
          <w:u w:val="single"/>
          <w:lang w:val="en-US"/>
        </w:rPr>
        <w:t>Section 8.4(C)</w:t>
      </w:r>
      <w:r>
        <w:rPr>
          <w:rFonts w:cs="Arial"/>
          <w:lang w:val="en-US"/>
        </w:rPr>
        <w:t>.</w:t>
      </w:r>
    </w:p>
    <w:p w:rsidR="0079779A" w:rsidRDefault="003E5439" w14:paraId="69BBF4A0" w14:textId="77777777">
      <w:pPr>
        <w:pStyle w:val="BodyTextFirstIndent"/>
        <w:ind w:right="0"/>
        <w:rPr>
          <w:rFonts w:cs="Arial"/>
          <w:lang w:val="en-US"/>
        </w:rPr>
      </w:pPr>
      <w:r>
        <w:rPr>
          <w:rFonts w:cs="Arial"/>
          <w:lang w:val="en-US"/>
        </w:rPr>
        <w:t>“</w:t>
      </w:r>
      <w:r>
        <w:rPr>
          <w:rFonts w:cs="Arial"/>
          <w:u w:val="single"/>
          <w:lang w:val="en-US"/>
        </w:rPr>
        <w:t>Guaranteed Storage Availability Payment Adjustment</w:t>
      </w:r>
      <w:r>
        <w:rPr>
          <w:rFonts w:cs="Arial"/>
          <w:lang w:val="en-US"/>
        </w:rPr>
        <w:t xml:space="preserve">” shall have the meaning set forth in </w:t>
      </w:r>
      <w:r>
        <w:rPr>
          <w:rFonts w:cs="Arial"/>
          <w:u w:val="single"/>
          <w:lang w:val="en-US"/>
        </w:rPr>
        <w:t>Section 8.4(C)</w:t>
      </w:r>
      <w:r>
        <w:rPr>
          <w:rFonts w:cs="Arial"/>
          <w:lang w:val="en-US"/>
        </w:rPr>
        <w:t xml:space="preserve">. </w:t>
      </w:r>
    </w:p>
    <w:p w:rsidR="0079779A" w:rsidRDefault="003E5439" w14:paraId="6AA4975B" w14:textId="77777777">
      <w:pPr>
        <w:pStyle w:val="BodyTextFirstIndent"/>
        <w:ind w:right="0"/>
        <w:rPr>
          <w:lang w:val="en-US"/>
        </w:rPr>
      </w:pPr>
      <w:r>
        <w:rPr>
          <w:rFonts w:cs="Arial"/>
          <w:lang w:val="en-US"/>
        </w:rPr>
        <w:t>“</w:t>
      </w:r>
      <w:r>
        <w:rPr>
          <w:rFonts w:cs="Arial"/>
          <w:u w:val="single"/>
          <w:lang w:val="en-US"/>
        </w:rPr>
        <w:t>Guaranteed Storage Availability Payment Adjustment Cap</w:t>
      </w:r>
      <w:r>
        <w:rPr>
          <w:rFonts w:cs="Arial"/>
          <w:lang w:val="en-US"/>
        </w:rPr>
        <w:t xml:space="preserve">” shall have the meaning set forth in </w:t>
      </w:r>
      <w:r>
        <w:rPr>
          <w:rFonts w:cs="Arial"/>
          <w:u w:val="single"/>
          <w:lang w:val="en-US"/>
        </w:rPr>
        <w:t>Section 8.4(C)</w:t>
      </w:r>
      <w:r>
        <w:rPr>
          <w:rFonts w:cs="Arial"/>
          <w:lang w:val="en-US"/>
        </w:rPr>
        <w:t>.</w:t>
      </w:r>
      <w:r>
        <w:rPr>
          <w:lang w:val="en-US"/>
        </w:rPr>
        <w:t xml:space="preserve"> </w:t>
      </w:r>
    </w:p>
    <w:p w:rsidR="0079779A" w:rsidRDefault="003E5439" w14:paraId="474F7A37" w14:textId="77777777">
      <w:pPr>
        <w:pStyle w:val="BodyTextFirstIndent"/>
        <w:ind w:right="0"/>
        <w:rPr>
          <w:lang w:val="en-US"/>
        </w:rPr>
      </w:pPr>
      <w:r>
        <w:rPr>
          <w:lang w:val="en-US"/>
        </w:rPr>
        <w:t>“</w:t>
      </w:r>
      <w:r>
        <w:rPr>
          <w:u w:val="single"/>
          <w:lang w:val="en-US"/>
        </w:rPr>
        <w:t>Guaranteed Storage Capacity</w:t>
      </w:r>
      <w:r>
        <w:rPr>
          <w:lang w:val="en-US"/>
        </w:rPr>
        <w:t xml:space="preserve">” shall have the meaning set forth in </w:t>
      </w:r>
      <w:r>
        <w:rPr>
          <w:u w:val="single"/>
        </w:rPr>
        <w:t xml:space="preserve">Exhibit M-1 – </w:t>
      </w:r>
      <w:r>
        <w:rPr>
          <w:rFonts w:cs="Arial"/>
          <w:u w:val="single"/>
          <w:lang w:val="en-US"/>
        </w:rPr>
        <w:t xml:space="preserve">Battery Storage System </w:t>
      </w:r>
      <w:r>
        <w:rPr>
          <w:u w:val="single"/>
        </w:rPr>
        <w:t>Guaranteed Performance Levels</w:t>
      </w:r>
      <w:r>
        <w:rPr>
          <w:lang w:val="en-US"/>
        </w:rPr>
        <w:t xml:space="preserve">. </w:t>
      </w:r>
    </w:p>
    <w:p w:rsidR="0079779A" w:rsidRDefault="003E5439" w14:paraId="4F1068FF" w14:textId="77777777">
      <w:pPr>
        <w:pStyle w:val="BodyTextFirstIndent"/>
        <w:rPr>
          <w:rFonts w:cs="Arial"/>
          <w:lang w:val="en-US"/>
        </w:rPr>
      </w:pPr>
      <w:r>
        <w:rPr>
          <w:rFonts w:cs="Arial"/>
          <w:lang w:val="en-US"/>
        </w:rPr>
        <w:t>“</w:t>
      </w:r>
      <w:r>
        <w:rPr>
          <w:rFonts w:cs="Arial"/>
          <w:u w:val="single"/>
          <w:lang w:val="en-US"/>
        </w:rPr>
        <w:t>Hours</w:t>
      </w:r>
      <w:r>
        <w:rPr>
          <w:rFonts w:cs="Arial"/>
          <w:lang w:val="en-US"/>
        </w:rPr>
        <w:t xml:space="preserve">” shall have the meaning set forth in </w:t>
      </w:r>
      <w:r>
        <w:rPr>
          <w:rFonts w:cs="Arial"/>
          <w:u w:val="single"/>
          <w:lang w:val="en-US"/>
        </w:rPr>
        <w:t>Section 8.4(C)</w:t>
      </w:r>
      <w:r>
        <w:rPr>
          <w:rFonts w:cs="Arial"/>
          <w:lang w:val="en-US"/>
        </w:rPr>
        <w:t>.</w:t>
      </w:r>
    </w:p>
    <w:p w:rsidR="0079779A" w:rsidRDefault="003E5439" w14:paraId="4398D062" w14:textId="77777777">
      <w:pPr>
        <w:pStyle w:val="BodyTextFirstIndent"/>
        <w:ind w:right="0"/>
        <w:rPr>
          <w:lang w:val="en-US"/>
        </w:rPr>
      </w:pPr>
      <w:r>
        <w:rPr>
          <w:lang w:val="en-US"/>
        </w:rPr>
        <w:t>“</w:t>
      </w:r>
      <w:r>
        <w:rPr>
          <w:u w:val="single"/>
          <w:lang w:val="en-US"/>
        </w:rPr>
        <w:t>House Power</w:t>
      </w:r>
      <w:r>
        <w:rPr>
          <w:lang w:val="en-US"/>
        </w:rPr>
        <w:t xml:space="preserve">” shall have the meaning set forth in </w:t>
      </w:r>
      <w:r>
        <w:rPr>
          <w:u w:val="single"/>
          <w:lang w:val="en-US"/>
        </w:rPr>
        <w:t>Section 1.2(B)</w:t>
      </w:r>
      <w:r>
        <w:rPr>
          <w:lang w:val="en-US"/>
        </w:rPr>
        <w:t>.</w:t>
      </w:r>
    </w:p>
    <w:p w:rsidR="0079779A" w:rsidRDefault="003E5439" w14:paraId="587F1FF5" w14:textId="77777777">
      <w:pPr>
        <w:pStyle w:val="BodyTextFirstIndent"/>
        <w:ind w:right="0"/>
        <w:rPr>
          <w:lang w:val="en-US"/>
        </w:rPr>
      </w:pPr>
      <w:r>
        <w:rPr>
          <w:lang w:val="en-US"/>
        </w:rPr>
        <w:t>“</w:t>
      </w:r>
      <w:r>
        <w:rPr>
          <w:u w:val="single"/>
          <w:lang w:val="en-US"/>
        </w:rPr>
        <w:t>Independent Engineer”</w:t>
      </w:r>
      <w:r>
        <w:rPr>
          <w:lang w:val="en-US"/>
        </w:rPr>
        <w:t xml:space="preserve"> means a qualified and independent third party engineering firm.</w:t>
      </w:r>
    </w:p>
    <w:p w:rsidR="0079779A" w:rsidRDefault="003E5439" w14:paraId="1FF9EA79" w14:textId="77777777">
      <w:pPr>
        <w:pStyle w:val="BodyTextFirstIndent"/>
        <w:ind w:right="0"/>
      </w:pPr>
      <w:r>
        <w:t>“</w:t>
      </w:r>
      <w:r>
        <w:rPr>
          <w:u w:val="single"/>
        </w:rPr>
        <w:t>Interconnection Agreement</w:t>
      </w:r>
      <w:r>
        <w:t xml:space="preserve">” means the separate contract for interconnection of the Facility to the Transmission Authority’s System, as such agreement may be amended from time to time.  For purposes of this PPA, the Interconnection Agreement shall be interpreted to include any third party facility construction agreement or other agreement required by the Transmission Authority to interconnect the Facility in accordance with the Transmission Tariff.  For the avoidance of doubt, “Interconnection Agreement” excludes any temporary or provisional interconnection agreement or any </w:t>
      </w:r>
      <w:r>
        <w:lastRenderedPageBreak/>
        <w:t>agreement where the Transmission Provider may limit the operational output of the Facility.</w:t>
      </w:r>
    </w:p>
    <w:p w:rsidR="0079779A" w:rsidRDefault="003E5439" w14:paraId="51A4F015" w14:textId="77777777">
      <w:pPr>
        <w:pStyle w:val="BodyTextFirstIndent"/>
        <w:ind w:right="0"/>
        <w:rPr>
          <w:lang w:val="en-US"/>
        </w:rPr>
      </w:pPr>
      <w:r>
        <w:t>“</w:t>
      </w:r>
      <w:r>
        <w:rPr>
          <w:u w:val="single"/>
        </w:rPr>
        <w:t>Indemnified Party</w:t>
      </w:r>
      <w:r>
        <w:t>”</w:t>
      </w:r>
      <w:r>
        <w:rPr>
          <w:lang w:val="en-US"/>
        </w:rPr>
        <w:t xml:space="preserve"> shall have the meaning set forth in </w:t>
      </w:r>
      <w:r>
        <w:rPr>
          <w:u w:val="single"/>
          <w:lang w:val="en-US"/>
        </w:rPr>
        <w:t>Section 17.1</w:t>
      </w:r>
      <w:r>
        <w:rPr>
          <w:lang w:val="en-US"/>
        </w:rPr>
        <w:t>.</w:t>
      </w:r>
    </w:p>
    <w:p w:rsidR="0079779A" w:rsidRDefault="003E5439" w14:paraId="3F9B4473" w14:textId="77777777">
      <w:pPr>
        <w:pStyle w:val="BodyTextFirstIndent"/>
        <w:ind w:right="0"/>
        <w:rPr>
          <w:lang w:val="en-US"/>
        </w:rPr>
      </w:pPr>
      <w:r>
        <w:t>“</w:t>
      </w:r>
      <w:r>
        <w:rPr>
          <w:u w:val="single"/>
        </w:rPr>
        <w:t>Indemnifying Party</w:t>
      </w:r>
      <w:r>
        <w:t>”</w:t>
      </w:r>
      <w:r>
        <w:rPr>
          <w:lang w:val="en-US"/>
        </w:rPr>
        <w:t xml:space="preserve"> shall have the meaning set forth in </w:t>
      </w:r>
      <w:r>
        <w:rPr>
          <w:u w:val="single"/>
          <w:lang w:val="en-US"/>
        </w:rPr>
        <w:t>Section 17.1</w:t>
      </w:r>
      <w:r>
        <w:rPr>
          <w:lang w:val="en-US"/>
        </w:rPr>
        <w:t>.</w:t>
      </w:r>
    </w:p>
    <w:p w:rsidR="0079779A" w:rsidRDefault="003E5439" w14:paraId="429DBC0E" w14:textId="77777777">
      <w:pPr>
        <w:pStyle w:val="BodyTextFirstIndent"/>
        <w:ind w:right="0"/>
      </w:pPr>
      <w:r>
        <w:t>“</w:t>
      </w:r>
      <w:r>
        <w:rPr>
          <w:u w:val="single"/>
        </w:rPr>
        <w:t>Interconnection Facilities</w:t>
      </w:r>
      <w:r>
        <w:t xml:space="preserve">” means those facilities designated in the Interconnection Agreement for the direct purpose of interconnecting the Facility at the Interconnection Point, along with any easements, rights of way, surface use agreements and other interests or rights in real estate reasonably necessary for the construction, operation and maintenance of such facilities, whether owned by Seller, the Transmission Authority or another entity.  This equipment is conceptually depicted in </w:t>
      </w:r>
      <w:r>
        <w:rPr>
          <w:u w:val="single"/>
        </w:rPr>
        <w:t>Exhibit C – Facility Description and Site Maps</w:t>
      </w:r>
      <w:r>
        <w:t xml:space="preserve"> to this PPA.</w:t>
      </w:r>
    </w:p>
    <w:p w:rsidR="0079779A" w:rsidRDefault="003E5439" w14:paraId="38443B7B" w14:textId="77777777">
      <w:pPr>
        <w:pStyle w:val="BodyTextFirstIndent"/>
        <w:ind w:right="0"/>
      </w:pPr>
      <w:r>
        <w:t>“</w:t>
      </w:r>
      <w:r>
        <w:rPr>
          <w:u w:val="single"/>
        </w:rPr>
        <w:t>Interconnection Point</w:t>
      </w:r>
      <w:r>
        <w:t xml:space="preserve">” means the physical point within the operational authority of the Transmission Authority as specified in the Interconnection Agreement as project </w:t>
      </w:r>
      <w:r>
        <w:rPr>
          <w:i/>
          <w:highlight w:val="yellow"/>
        </w:rPr>
        <w:t>[_________],</w:t>
      </w:r>
      <w:r>
        <w:t xml:space="preserve"> at which electrical interconnection is made between the Facility and the Transmission Authority’s System in accordance with the Transmission Tariff and the Interconnection Agreement.  </w:t>
      </w:r>
    </w:p>
    <w:p w:rsidR="0079779A" w:rsidRDefault="003E5439" w14:paraId="2CAAA1B8" w14:textId="77777777">
      <w:pPr>
        <w:pStyle w:val="BodyTextFirstIndent"/>
        <w:ind w:right="0"/>
        <w:rPr>
          <w:rFonts w:cs="Arial"/>
        </w:rPr>
      </w:pPr>
      <w:r>
        <w:rPr>
          <w:rFonts w:cs="Arial"/>
        </w:rPr>
        <w:t>“</w:t>
      </w:r>
      <w:r>
        <w:rPr>
          <w:rFonts w:cs="Arial"/>
          <w:u w:val="single"/>
        </w:rPr>
        <w:t>Investment Grade</w:t>
      </w:r>
      <w:r>
        <w:rPr>
          <w:rFonts w:cs="Arial"/>
        </w:rPr>
        <w:t>” means a Credit Rating of both (a) Baa3 or higher by Moody’s, and (b) BBB- or higher by S</w:t>
      </w:r>
      <w:r>
        <w:rPr>
          <w:rFonts w:cs="Arial"/>
          <w:lang w:val="en-US"/>
        </w:rPr>
        <w:t>tandard &amp; Poor’s</w:t>
      </w:r>
      <w:r>
        <w:rPr>
          <w:rFonts w:cs="Arial"/>
        </w:rPr>
        <w:t xml:space="preserve">.  </w:t>
      </w:r>
    </w:p>
    <w:p w:rsidR="0079779A" w:rsidRDefault="003E5439" w14:paraId="290AE6FD" w14:textId="77777777">
      <w:pPr>
        <w:pStyle w:val="BodyTextFirstIndent"/>
        <w:ind w:right="0"/>
        <w:rPr>
          <w:rFonts w:cs="Arial"/>
        </w:rPr>
      </w:pPr>
      <w:r>
        <w:rPr>
          <w:rFonts w:cs="Arial"/>
        </w:rPr>
        <w:t>“</w:t>
      </w:r>
      <w:r>
        <w:rPr>
          <w:rFonts w:cs="Arial"/>
          <w:u w:val="single"/>
        </w:rPr>
        <w:t>kW</w:t>
      </w:r>
      <w:r>
        <w:rPr>
          <w:rFonts w:cs="Arial"/>
        </w:rPr>
        <w:t xml:space="preserve">” </w:t>
      </w:r>
      <w:r>
        <w:t>means</w:t>
      </w:r>
      <w:r>
        <w:rPr>
          <w:rFonts w:cs="Arial"/>
        </w:rPr>
        <w:t xml:space="preserve"> kilowatt, and “</w:t>
      </w:r>
      <w:r>
        <w:rPr>
          <w:rFonts w:cs="Arial"/>
          <w:u w:val="single"/>
        </w:rPr>
        <w:t>kWh</w:t>
      </w:r>
      <w:r>
        <w:rPr>
          <w:rFonts w:cs="Arial"/>
        </w:rPr>
        <w:t xml:space="preserve">” means </w:t>
      </w:r>
      <w:r>
        <w:t>kilowatt</w:t>
      </w:r>
      <w:r>
        <w:rPr>
          <w:rFonts w:cs="Arial"/>
        </w:rPr>
        <w:t xml:space="preserve"> hour.</w:t>
      </w:r>
    </w:p>
    <w:p w:rsidR="0079779A" w:rsidRDefault="003E5439" w14:paraId="224C34E7" w14:textId="77777777">
      <w:pPr>
        <w:pStyle w:val="BodyTextFirstIndent"/>
        <w:ind w:right="0"/>
        <w:rPr>
          <w:rFonts w:cs="Arial"/>
        </w:rPr>
      </w:pPr>
      <w:r>
        <w:rPr>
          <w:rFonts w:cs="Arial"/>
        </w:rPr>
        <w:t>“</w:t>
      </w:r>
      <w:r>
        <w:rPr>
          <w:rFonts w:cs="Arial"/>
          <w:u w:val="single"/>
        </w:rPr>
        <w:t>Lender Consent</w:t>
      </w:r>
      <w:r>
        <w:rPr>
          <w:rFonts w:cs="Arial"/>
        </w:rPr>
        <w:t xml:space="preserve">” shall have the meaning set forth in </w:t>
      </w:r>
      <w:r>
        <w:rPr>
          <w:rFonts w:cs="Arial"/>
          <w:u w:val="single"/>
        </w:rPr>
        <w:t>Section 18.1</w:t>
      </w:r>
      <w:r>
        <w:rPr>
          <w:rFonts w:cs="Arial"/>
        </w:rPr>
        <w:t>.</w:t>
      </w:r>
    </w:p>
    <w:p w:rsidR="0079779A" w:rsidRDefault="003E5439" w14:paraId="60965636" w14:textId="77777777">
      <w:pPr>
        <w:pStyle w:val="BodyTextFirstIndent"/>
        <w:ind w:right="0"/>
        <w:rPr>
          <w:rFonts w:cs="Arial"/>
          <w:lang w:val="en-US"/>
        </w:rPr>
      </w:pPr>
      <w:r>
        <w:rPr>
          <w:rFonts w:cs="Arial"/>
          <w:lang w:val="en-US"/>
        </w:rPr>
        <w:t>“</w:t>
      </w:r>
      <w:r>
        <w:rPr>
          <w:rFonts w:cs="Arial"/>
          <w:u w:val="single"/>
          <w:lang w:val="en-US"/>
        </w:rPr>
        <w:t>Liquidated Delay Damages</w:t>
      </w:r>
      <w:r>
        <w:rPr>
          <w:rFonts w:cs="Arial"/>
          <w:lang w:val="en-US"/>
        </w:rPr>
        <w:t xml:space="preserve">” shall have the meaning set forth in </w:t>
      </w:r>
      <w:r>
        <w:rPr>
          <w:rFonts w:cs="Arial"/>
          <w:u w:val="single"/>
          <w:lang w:val="en-US"/>
        </w:rPr>
        <w:t>Section 12.2</w:t>
      </w:r>
      <w:r>
        <w:rPr>
          <w:rFonts w:cs="Arial"/>
          <w:lang w:val="en-US"/>
        </w:rPr>
        <w:t>.</w:t>
      </w:r>
    </w:p>
    <w:p w:rsidR="0079779A" w:rsidRDefault="003E5439" w14:paraId="02763CB9" w14:textId="77777777">
      <w:pPr>
        <w:pStyle w:val="BodyTextFirstIndent"/>
        <w:ind w:right="0"/>
      </w:pPr>
      <w:r>
        <w:t>"</w:t>
      </w:r>
      <w:r>
        <w:rPr>
          <w:u w:val="single"/>
        </w:rPr>
        <w:t>Maintenance Schedule</w:t>
      </w:r>
      <w:r>
        <w:t xml:space="preserve">" </w:t>
      </w:r>
      <w:r>
        <w:rPr>
          <w:lang w:val="en-US"/>
        </w:rPr>
        <w:t xml:space="preserve">shall have the </w:t>
      </w:r>
      <w:r>
        <w:t xml:space="preserve">meaning set forth in </w:t>
      </w:r>
      <w:r>
        <w:rPr>
          <w:u w:val="single"/>
        </w:rPr>
        <w:t>Section 10.2</w:t>
      </w:r>
      <w:r>
        <w:t>.</w:t>
      </w:r>
    </w:p>
    <w:p w:rsidR="0079779A" w:rsidRDefault="003E5439" w14:paraId="0D04364A" w14:textId="77777777">
      <w:pPr>
        <w:pStyle w:val="BodyTextFirstIndent"/>
        <w:ind w:right="0"/>
        <w:rPr>
          <w:i/>
        </w:rPr>
      </w:pPr>
      <w:r>
        <w:t>“</w:t>
      </w:r>
      <w:r>
        <w:rPr>
          <w:u w:val="single"/>
        </w:rPr>
        <w:t>Market Operator</w:t>
      </w:r>
      <w:r>
        <w:t xml:space="preserve">” means the entity that instructs market participants and/or generators to regulate generation </w:t>
      </w:r>
      <w:r>
        <w:rPr>
          <w:lang w:val="en-US"/>
        </w:rPr>
        <w:t xml:space="preserve">and energy storage </w:t>
      </w:r>
      <w:r>
        <w:t xml:space="preserve">assets (including the Facility) within any energy market in which Company participates, based on price-based offer curves for the purpose of matching generation output to system load demand while maintaining bulk electric system reliability.  If such entity is the Transmission Authority, then “Market Operator” shall mean such entity acting in its capacity as such. </w:t>
      </w:r>
    </w:p>
    <w:p w:rsidR="0079779A" w:rsidRDefault="003E5439" w14:paraId="75A36762" w14:textId="77777777">
      <w:pPr>
        <w:pStyle w:val="BodyTextFirstIndent"/>
        <w:ind w:right="0"/>
      </w:pPr>
      <w:r>
        <w:t>“</w:t>
      </w:r>
      <w:r>
        <w:rPr>
          <w:u w:val="single"/>
        </w:rPr>
        <w:t>Material Adverse Effect</w:t>
      </w:r>
      <w:r>
        <w:t>” means any effect (or effects taken together) that is materially adverse to the present or future business, operations, assets, liabilities, properties, results in operations or condition (financial or otherwise), prospects, or property of a Party, its business, or this PPA.</w:t>
      </w:r>
    </w:p>
    <w:p w:rsidR="0079779A" w:rsidRDefault="003E5439" w14:paraId="18C21BC5" w14:textId="77777777">
      <w:pPr>
        <w:pStyle w:val="BodyTextFirstIndent"/>
        <w:ind w:right="0"/>
        <w:rPr>
          <w:rFonts w:cs="Arial"/>
          <w:lang w:val="en-US"/>
        </w:rPr>
      </w:pPr>
      <w:r>
        <w:rPr>
          <w:lang w:val="en-US"/>
        </w:rPr>
        <w:t>“</w:t>
      </w:r>
      <w:r>
        <w:rPr>
          <w:u w:val="single"/>
          <w:lang w:val="en-US"/>
        </w:rPr>
        <w:t>Maximum Charging Rate</w:t>
      </w:r>
      <w:r>
        <w:rPr>
          <w:lang w:val="en-US"/>
        </w:rPr>
        <w:t xml:space="preserve">” shall have the meaning set forth in </w:t>
      </w:r>
      <w:r>
        <w:rPr>
          <w:u w:val="single"/>
        </w:rPr>
        <w:t xml:space="preserve">Exhibit M – </w:t>
      </w:r>
      <w:r>
        <w:rPr>
          <w:u w:val="single"/>
          <w:lang w:val="en-US"/>
        </w:rPr>
        <w:t xml:space="preserve">Battery Storage System </w:t>
      </w:r>
      <w:r>
        <w:rPr>
          <w:u w:val="single"/>
        </w:rPr>
        <w:t>Testing Protocols</w:t>
      </w:r>
      <w:r>
        <w:rPr>
          <w:rFonts w:cs="Arial"/>
          <w:lang w:val="en-US"/>
        </w:rPr>
        <w:t>.</w:t>
      </w:r>
    </w:p>
    <w:p w:rsidR="0079779A" w:rsidRDefault="003E5439" w14:paraId="69B024F6" w14:textId="77777777">
      <w:pPr>
        <w:pStyle w:val="BodyTextFirstIndent"/>
        <w:ind w:right="0"/>
        <w:rPr>
          <w:lang w:val="en-US"/>
        </w:rPr>
      </w:pPr>
      <w:r>
        <w:rPr>
          <w:rFonts w:cs="Arial"/>
          <w:lang w:val="en-US"/>
        </w:rPr>
        <w:lastRenderedPageBreak/>
        <w:t>“</w:t>
      </w:r>
      <w:r>
        <w:rPr>
          <w:rFonts w:cs="Arial"/>
          <w:u w:val="single"/>
          <w:lang w:val="en-US"/>
        </w:rPr>
        <w:t>Maximum Discharging Rate</w:t>
      </w:r>
      <w:r>
        <w:rPr>
          <w:rFonts w:cs="Arial"/>
          <w:lang w:val="en-US"/>
        </w:rPr>
        <w:t xml:space="preserve">” shall have the meaning set forth in </w:t>
      </w:r>
      <w:r>
        <w:rPr>
          <w:u w:val="single"/>
        </w:rPr>
        <w:t xml:space="preserve">Exhibit M – </w:t>
      </w:r>
      <w:r>
        <w:rPr>
          <w:u w:val="single"/>
          <w:lang w:val="en-US"/>
        </w:rPr>
        <w:t xml:space="preserve">Battery Storage System </w:t>
      </w:r>
      <w:r>
        <w:rPr>
          <w:u w:val="single"/>
        </w:rPr>
        <w:t>Testing Protocols</w:t>
      </w:r>
      <w:r>
        <w:rPr>
          <w:lang w:val="en-US"/>
        </w:rPr>
        <w:t>.</w:t>
      </w:r>
    </w:p>
    <w:p w:rsidR="0079779A" w:rsidRDefault="003E5439" w14:paraId="2586EDC0" w14:textId="77777777">
      <w:pPr>
        <w:pStyle w:val="BodyTextFirstIndent"/>
        <w:ind w:right="0"/>
        <w:rPr>
          <w:lang w:val="en-US"/>
        </w:rPr>
      </w:pPr>
      <w:r>
        <w:rPr>
          <w:lang w:val="en-US"/>
        </w:rPr>
        <w:t>“</w:t>
      </w:r>
      <w:r>
        <w:rPr>
          <w:u w:val="single"/>
          <w:lang w:val="en-US"/>
        </w:rPr>
        <w:t>Minimum Charging Time</w:t>
      </w:r>
      <w:r>
        <w:rPr>
          <w:lang w:val="en-US"/>
        </w:rPr>
        <w:t xml:space="preserve">” shall have the meaning set forth in </w:t>
      </w:r>
      <w:r>
        <w:rPr>
          <w:u w:val="single"/>
          <w:lang w:val="en-US"/>
        </w:rPr>
        <w:t xml:space="preserve">Exhibit M – </w:t>
      </w:r>
      <w:r>
        <w:rPr>
          <w:rFonts w:cs="Arial"/>
          <w:u w:val="single"/>
          <w:lang w:val="en-US"/>
        </w:rPr>
        <w:t xml:space="preserve">Battery Storage System </w:t>
      </w:r>
      <w:r>
        <w:rPr>
          <w:u w:val="single"/>
          <w:lang w:val="en-US"/>
        </w:rPr>
        <w:t>Testing Protocols</w:t>
      </w:r>
      <w:r>
        <w:rPr>
          <w:lang w:val="en-US"/>
        </w:rPr>
        <w:t>.</w:t>
      </w:r>
    </w:p>
    <w:p w:rsidR="0079779A" w:rsidRDefault="003E5439" w14:paraId="445BA64E" w14:textId="77777777">
      <w:pPr>
        <w:pStyle w:val="BodyTextFirstIndent"/>
        <w:ind w:right="0"/>
        <w:rPr>
          <w:lang w:val="en-US"/>
        </w:rPr>
      </w:pPr>
      <w:r>
        <w:rPr>
          <w:lang w:val="en-US"/>
        </w:rPr>
        <w:t>“</w:t>
      </w:r>
      <w:r>
        <w:rPr>
          <w:u w:val="single"/>
          <w:lang w:val="en-US"/>
        </w:rPr>
        <w:t>Minimum Discharging Time</w:t>
      </w:r>
      <w:r>
        <w:rPr>
          <w:lang w:val="en-US"/>
        </w:rPr>
        <w:t xml:space="preserve">” shall have the meaning set forth in </w:t>
      </w:r>
      <w:r>
        <w:rPr>
          <w:u w:val="single"/>
          <w:lang w:val="en-US"/>
        </w:rPr>
        <w:t xml:space="preserve">Exhibit M – </w:t>
      </w:r>
      <w:r>
        <w:rPr>
          <w:rFonts w:cs="Arial"/>
          <w:u w:val="single"/>
          <w:lang w:val="en-US"/>
        </w:rPr>
        <w:t xml:space="preserve">Battery Storage System </w:t>
      </w:r>
      <w:r>
        <w:rPr>
          <w:u w:val="single"/>
          <w:lang w:val="en-US"/>
        </w:rPr>
        <w:t>Testing Protocols</w:t>
      </w:r>
      <w:r>
        <w:rPr>
          <w:lang w:val="en-US"/>
        </w:rPr>
        <w:t>.</w:t>
      </w:r>
    </w:p>
    <w:p w:rsidR="0079779A" w:rsidRDefault="003E5439" w14:paraId="0B07EA16" w14:textId="77777777">
      <w:pPr>
        <w:pStyle w:val="BodyTextFirstIndent"/>
        <w:ind w:right="0"/>
        <w:rPr>
          <w:rFonts w:cs="Arial"/>
        </w:rPr>
      </w:pPr>
      <w:r>
        <w:rPr>
          <w:rFonts w:cs="Arial"/>
          <w:lang w:val="en-US"/>
        </w:rPr>
        <w:t xml:space="preserve"> </w:t>
      </w:r>
      <w:r>
        <w:rPr>
          <w:rFonts w:cs="Arial"/>
        </w:rPr>
        <w:t>“</w:t>
      </w:r>
      <w:r>
        <w:rPr>
          <w:rFonts w:cs="Arial"/>
          <w:u w:val="single"/>
        </w:rPr>
        <w:t>MW</w:t>
      </w:r>
      <w:r>
        <w:rPr>
          <w:rFonts w:cs="Arial"/>
        </w:rPr>
        <w:t>” means megawatt or one thousand kW, and “</w:t>
      </w:r>
      <w:r>
        <w:rPr>
          <w:rFonts w:cs="Arial"/>
          <w:u w:val="single"/>
        </w:rPr>
        <w:t>MWh</w:t>
      </w:r>
      <w:r>
        <w:rPr>
          <w:rFonts w:cs="Arial"/>
        </w:rPr>
        <w:t>” means megawatt hours.</w:t>
      </w:r>
    </w:p>
    <w:p w:rsidR="0079779A" w:rsidRDefault="003E5439" w14:paraId="49AC091C" w14:textId="77777777">
      <w:pPr>
        <w:pStyle w:val="BodyTextFirstIndent"/>
        <w:ind w:right="0"/>
        <w:rPr>
          <w:rFonts w:cs="Arial"/>
        </w:rPr>
      </w:pPr>
      <w:r>
        <w:rPr>
          <w:rFonts w:cs="Arial"/>
        </w:rPr>
        <w:t>“</w:t>
      </w:r>
      <w:r>
        <w:rPr>
          <w:rFonts w:cs="Arial"/>
          <w:u w:val="single"/>
        </w:rPr>
        <w:t>NERC</w:t>
      </w:r>
      <w:r>
        <w:rPr>
          <w:rFonts w:cs="Arial"/>
        </w:rPr>
        <w:t>” means the North American Electric Reliability Co</w:t>
      </w:r>
      <w:r>
        <w:rPr>
          <w:rFonts w:cs="Arial"/>
          <w:lang w:val="en-US"/>
        </w:rPr>
        <w:t xml:space="preserve">rporation </w:t>
      </w:r>
      <w:r>
        <w:rPr>
          <w:rFonts w:cs="Arial"/>
        </w:rPr>
        <w:t>or any successor organization.</w:t>
      </w:r>
    </w:p>
    <w:p w:rsidR="0079779A" w:rsidRDefault="003E5439" w14:paraId="67E65D12" w14:textId="77777777">
      <w:pPr>
        <w:pStyle w:val="BodyTextFirstIndent"/>
        <w:ind w:right="0"/>
        <w:rPr>
          <w:rFonts w:cs="Arial"/>
        </w:rPr>
      </w:pPr>
      <w:r>
        <w:rPr>
          <w:rFonts w:cs="Arial"/>
        </w:rPr>
        <w:t>“</w:t>
      </w:r>
      <w:r>
        <w:rPr>
          <w:rFonts w:cs="Arial"/>
          <w:u w:val="single"/>
          <w:lang w:val="en-US"/>
        </w:rPr>
        <w:t xml:space="preserve">Network </w:t>
      </w:r>
      <w:r>
        <w:rPr>
          <w:rFonts w:cs="Arial"/>
          <w:u w:val="single"/>
        </w:rPr>
        <w:t>Resource Interconnection Service</w:t>
      </w:r>
      <w:r>
        <w:rPr>
          <w:rFonts w:cs="Arial"/>
        </w:rPr>
        <w:t>” means the type of interconnection service which allows Seller to connect the Facility to the transmission or distribution system, as applicable, as a “</w:t>
      </w:r>
      <w:r>
        <w:rPr>
          <w:rFonts w:cs="Arial"/>
          <w:lang w:val="en-US"/>
        </w:rPr>
        <w:t xml:space="preserve">Network </w:t>
      </w:r>
      <w:r>
        <w:rPr>
          <w:rFonts w:cs="Arial"/>
        </w:rPr>
        <w:t xml:space="preserve">Resource” as defined by the Transmission Tariff, and be </w:t>
      </w:r>
      <w:r>
        <w:rPr>
          <w:rFonts w:cs="Arial"/>
          <w:lang w:val="en-US"/>
        </w:rPr>
        <w:t>eligible to deliver the Facility’s output i</w:t>
      </w:r>
      <w:r>
        <w:rPr>
          <w:rFonts w:cs="Arial"/>
        </w:rPr>
        <w:t>n a manner</w:t>
      </w:r>
      <w:r>
        <w:rPr>
          <w:rFonts w:cs="Arial"/>
          <w:lang w:val="en-US"/>
        </w:rPr>
        <w:t xml:space="preserve"> </w:t>
      </w:r>
      <w:r>
        <w:rPr>
          <w:rFonts w:cs="Arial"/>
        </w:rPr>
        <w:t xml:space="preserve">comparable to that in which </w:t>
      </w:r>
      <w:r>
        <w:rPr>
          <w:rFonts w:cs="Arial"/>
          <w:lang w:val="en-US"/>
        </w:rPr>
        <w:t xml:space="preserve">the </w:t>
      </w:r>
      <w:r>
        <w:rPr>
          <w:rFonts w:cs="Arial"/>
        </w:rPr>
        <w:t xml:space="preserve">Transmission </w:t>
      </w:r>
      <w:r>
        <w:rPr>
          <w:rFonts w:cs="Arial"/>
          <w:lang w:val="en-US"/>
        </w:rPr>
        <w:t xml:space="preserve">Authority </w:t>
      </w:r>
      <w:r>
        <w:rPr>
          <w:rFonts w:cs="Arial"/>
        </w:rPr>
        <w:t>integrates</w:t>
      </w:r>
      <w:r>
        <w:rPr>
          <w:rFonts w:cs="Arial"/>
          <w:lang w:val="en-US"/>
        </w:rPr>
        <w:t xml:space="preserve"> </w:t>
      </w:r>
      <w:r>
        <w:rPr>
          <w:rFonts w:cs="Arial"/>
        </w:rPr>
        <w:t>its generating facilities to serve native load customers.</w:t>
      </w:r>
      <w:r>
        <w:rPr>
          <w:rFonts w:cs="Arial"/>
          <w:lang w:val="en-US"/>
        </w:rPr>
        <w:t xml:space="preserve">   </w:t>
      </w:r>
      <w:r>
        <w:rPr>
          <w:rFonts w:cs="Arial"/>
          <w:b/>
          <w:i/>
          <w:sz w:val="20"/>
          <w:szCs w:val="20"/>
          <w:lang w:val="en-US"/>
        </w:rPr>
        <w:t>if needed</w:t>
      </w:r>
    </w:p>
    <w:p w:rsidR="0079779A" w:rsidRDefault="003E5439" w14:paraId="0B8D7CF2" w14:textId="77777777">
      <w:pPr>
        <w:pStyle w:val="BodyTextFirstIndent"/>
        <w:ind w:right="0"/>
      </w:pPr>
      <w:r>
        <w:t>“</w:t>
      </w:r>
      <w:r>
        <w:rPr>
          <w:u w:val="single"/>
        </w:rPr>
        <w:t>Operating Committee</w:t>
      </w:r>
      <w:r>
        <w:t xml:space="preserve">” </w:t>
      </w:r>
      <w:r>
        <w:rPr>
          <w:rFonts w:cs="Arial"/>
        </w:rPr>
        <w:t>means</w:t>
      </w:r>
      <w:r>
        <w:t xml:space="preserve"> representative</w:t>
      </w:r>
      <w:r>
        <w:rPr>
          <w:lang w:val="en-US"/>
        </w:rPr>
        <w:t>(s)</w:t>
      </w:r>
      <w:r>
        <w:t xml:space="preserve"> each from Company and Seller, pursuant to </w:t>
      </w:r>
      <w:r>
        <w:rPr>
          <w:u w:val="single"/>
        </w:rPr>
        <w:t>Section 10.</w:t>
      </w:r>
      <w:r>
        <w:rPr>
          <w:u w:val="single"/>
          <w:lang w:val="en-US"/>
        </w:rPr>
        <w:t>8</w:t>
      </w:r>
      <w:r>
        <w:t>.</w:t>
      </w:r>
    </w:p>
    <w:p w:rsidR="0079779A" w:rsidRDefault="003E5439" w14:paraId="4DFEF7A0" w14:textId="77777777">
      <w:pPr>
        <w:spacing w:before="240" w:after="240"/>
        <w:ind w:firstLine="720"/>
      </w:pPr>
      <w:r>
        <w:t>“</w:t>
      </w:r>
      <w:r>
        <w:rPr>
          <w:u w:val="single"/>
        </w:rPr>
        <w:t>Operating Day</w:t>
      </w:r>
      <w:r>
        <w:t>” means a day within the Delivery Period on which the Battery Storage System operates.</w:t>
      </w:r>
    </w:p>
    <w:p w:rsidR="0079779A" w:rsidRDefault="003E5439" w14:paraId="496E994E" w14:textId="77777777">
      <w:pPr>
        <w:pStyle w:val="BodyTextFirstIndent"/>
        <w:ind w:right="0"/>
        <w:rPr>
          <w:rFonts w:cs="Arial"/>
        </w:rPr>
      </w:pPr>
      <w:r>
        <w:t>“</w:t>
      </w:r>
      <w:r>
        <w:rPr>
          <w:u w:val="single"/>
        </w:rPr>
        <w:t>Operating Records</w:t>
      </w:r>
      <w:r>
        <w:t>” means all agreements associated with the Facility, operating logs</w:t>
      </w:r>
      <w:r>
        <w:rPr>
          <w:rFonts w:cs="Arial"/>
        </w:rPr>
        <w:t xml:space="preserve">, blueprints for construction, operating manuals, all warranties on equipment, and all documents, whether in printed or electronic format, that Seller uses or maintains for the operation of the Facility. </w:t>
      </w:r>
    </w:p>
    <w:p w:rsidR="0079779A" w:rsidRDefault="003E5439" w14:paraId="32FC198E" w14:textId="77777777">
      <w:pPr>
        <w:pStyle w:val="BodyTextFirstIndent"/>
        <w:ind w:right="0"/>
        <w:rPr>
          <w:rFonts w:cs="Arial"/>
          <w:lang w:val="en-US"/>
        </w:rPr>
      </w:pPr>
      <w:r>
        <w:rPr>
          <w:rFonts w:cs="Arial"/>
          <w:lang w:val="en-US"/>
        </w:rPr>
        <w:t>“</w:t>
      </w:r>
      <w:r>
        <w:rPr>
          <w:rFonts w:cs="Arial"/>
          <w:u w:val="single"/>
          <w:lang w:val="en-US"/>
        </w:rPr>
        <w:t>Outage</w:t>
      </w:r>
      <w:r>
        <w:rPr>
          <w:rFonts w:cs="Arial"/>
          <w:lang w:val="en-US"/>
        </w:rPr>
        <w:t xml:space="preserve">” means any period during which the capacity of the Battery Storage System is unavailable for any reason as reported by the SCADA system in accordance with </w:t>
      </w:r>
      <w:r>
        <w:rPr>
          <w:rFonts w:cs="Arial"/>
          <w:u w:val="single"/>
          <w:lang w:val="en-US"/>
        </w:rPr>
        <w:t>Exhibit O – Battery Storage System Operating Procedures</w:t>
      </w:r>
      <w:r>
        <w:rPr>
          <w:rFonts w:cs="Arial"/>
          <w:lang w:val="en-US"/>
        </w:rPr>
        <w:t>.</w:t>
      </w:r>
    </w:p>
    <w:p w:rsidR="0079779A" w:rsidRDefault="003E5439" w14:paraId="0C6D3CB9" w14:textId="77777777">
      <w:pPr>
        <w:pStyle w:val="BodyTextFirstIndent"/>
        <w:ind w:right="0"/>
        <w:rPr>
          <w:rFonts w:cs="Arial"/>
        </w:rPr>
      </w:pPr>
      <w:r>
        <w:rPr>
          <w:rFonts w:cs="Arial"/>
        </w:rPr>
        <w:t>“</w:t>
      </w:r>
      <w:r>
        <w:rPr>
          <w:rFonts w:cs="Arial"/>
          <w:u w:val="single"/>
        </w:rPr>
        <w:t>Party</w:t>
      </w:r>
      <w:r>
        <w:rPr>
          <w:rFonts w:cs="Arial"/>
        </w:rPr>
        <w:t>” and “</w:t>
      </w:r>
      <w:r>
        <w:rPr>
          <w:rFonts w:cs="Arial"/>
          <w:u w:val="single"/>
        </w:rPr>
        <w:t>Parties</w:t>
      </w:r>
      <w:r>
        <w:rPr>
          <w:rFonts w:cs="Arial"/>
        </w:rPr>
        <w:t>” shall have the meanings set forth in the introductory paragraph.</w:t>
      </w:r>
    </w:p>
    <w:p w:rsidR="0079779A" w:rsidRDefault="003E5439" w14:paraId="55BF3A68" w14:textId="77777777">
      <w:pPr>
        <w:pStyle w:val="BodyTextFirstIndent"/>
        <w:ind w:right="0"/>
        <w:rPr>
          <w:rFonts w:cs="Arial"/>
        </w:rPr>
      </w:pPr>
      <w:r>
        <w:rPr>
          <w:rFonts w:cs="Arial"/>
        </w:rPr>
        <w:t>“</w:t>
      </w:r>
      <w:r>
        <w:rPr>
          <w:rFonts w:cs="Arial"/>
          <w:u w:val="single"/>
        </w:rPr>
        <w:t>Pending Facility Transaction</w:t>
      </w:r>
      <w:r>
        <w:rPr>
          <w:rFonts w:cs="Arial"/>
        </w:rPr>
        <w:t>” or “</w:t>
      </w:r>
      <w:r>
        <w:rPr>
          <w:rFonts w:cs="Arial"/>
          <w:u w:val="single"/>
        </w:rPr>
        <w:t>PFT</w:t>
      </w:r>
      <w:r>
        <w:rPr>
          <w:rFonts w:cs="Arial"/>
        </w:rPr>
        <w:t xml:space="preserve">” shall have the meaning set forth in </w:t>
      </w:r>
      <w:r>
        <w:rPr>
          <w:rFonts w:cs="Arial"/>
          <w:u w:val="single"/>
        </w:rPr>
        <w:t>Section 19.4</w:t>
      </w:r>
      <w:r>
        <w:rPr>
          <w:rFonts w:cs="Arial"/>
        </w:rPr>
        <w:t>.</w:t>
      </w:r>
    </w:p>
    <w:p w:rsidR="0079779A" w:rsidRDefault="003E5439" w14:paraId="24308046" w14:textId="77777777">
      <w:pPr>
        <w:pStyle w:val="BodyTextFirstIndent"/>
        <w:ind w:right="0"/>
        <w:rPr>
          <w:rFonts w:cs="Arial"/>
          <w:lang w:val="en-US"/>
        </w:rPr>
      </w:pPr>
      <w:r>
        <w:rPr>
          <w:rFonts w:cs="Arial"/>
          <w:lang w:val="en-US"/>
        </w:rPr>
        <w:t>“</w:t>
      </w:r>
      <w:r>
        <w:rPr>
          <w:rFonts w:cs="Arial"/>
          <w:u w:val="single"/>
          <w:lang w:val="en-US"/>
        </w:rPr>
        <w:t>Performance Criteria</w:t>
      </w:r>
      <w:r>
        <w:rPr>
          <w:rFonts w:cs="Arial"/>
          <w:lang w:val="en-US"/>
        </w:rPr>
        <w:t xml:space="preserve">” means the performance test elements set forth in </w:t>
      </w:r>
      <w:r>
        <w:rPr>
          <w:u w:val="single"/>
        </w:rPr>
        <w:t xml:space="preserve">Exhibit M – </w:t>
      </w:r>
      <w:r>
        <w:rPr>
          <w:u w:val="single"/>
          <w:lang w:val="en-US"/>
        </w:rPr>
        <w:t xml:space="preserve">Battery Storage System </w:t>
      </w:r>
      <w:r>
        <w:rPr>
          <w:u w:val="single"/>
        </w:rPr>
        <w:t>Testing Protocols</w:t>
      </w:r>
      <w:r>
        <w:rPr>
          <w:rFonts w:cs="Arial"/>
          <w:lang w:val="en-US"/>
        </w:rPr>
        <w:t>.</w:t>
      </w:r>
    </w:p>
    <w:p w:rsidR="0079779A" w:rsidRDefault="003E5439" w14:paraId="73B5C4C2" w14:textId="77777777">
      <w:pPr>
        <w:pStyle w:val="BodyTextFirstIndent"/>
        <w:ind w:right="0"/>
        <w:rPr>
          <w:rFonts w:cs="Arial"/>
          <w:lang w:val="en-US"/>
        </w:rPr>
      </w:pPr>
      <w:r>
        <w:rPr>
          <w:rFonts w:cs="Arial"/>
          <w:lang w:val="en-US"/>
        </w:rPr>
        <w:t>“</w:t>
      </w:r>
      <w:r>
        <w:rPr>
          <w:rFonts w:cs="Arial"/>
          <w:u w:val="single"/>
          <w:lang w:val="en-US"/>
        </w:rPr>
        <w:t>Performance Tolerance Band</w:t>
      </w:r>
      <w:r>
        <w:rPr>
          <w:rFonts w:cs="Arial"/>
          <w:lang w:val="en-US"/>
        </w:rPr>
        <w:t xml:space="preserve">” shall have the meaning set forth in </w:t>
      </w:r>
      <w:r>
        <w:rPr>
          <w:rFonts w:cs="Arial"/>
          <w:u w:val="single"/>
          <w:lang w:val="en-US"/>
        </w:rPr>
        <w:t>Section 8.4(D)</w:t>
      </w:r>
      <w:r>
        <w:rPr>
          <w:rFonts w:cs="Arial"/>
          <w:lang w:val="en-US"/>
        </w:rPr>
        <w:t xml:space="preserve">. </w:t>
      </w:r>
    </w:p>
    <w:p w:rsidR="0079779A" w:rsidRDefault="003E5439" w14:paraId="1F4A43AF" w14:textId="77777777">
      <w:pPr>
        <w:pStyle w:val="BodyTextFirstIndent"/>
        <w:ind w:right="0"/>
        <w:rPr>
          <w:rFonts w:cs="Arial"/>
          <w:lang w:val="en-US"/>
        </w:rPr>
      </w:pPr>
      <w:r>
        <w:rPr>
          <w:rFonts w:cs="Arial"/>
          <w:lang w:val="en-US"/>
        </w:rPr>
        <w:lastRenderedPageBreak/>
        <w:t>“</w:t>
      </w:r>
      <w:r>
        <w:rPr>
          <w:rFonts w:cs="Arial"/>
          <w:u w:val="single"/>
          <w:lang w:val="en-US"/>
        </w:rPr>
        <w:t>Periodic Test</w:t>
      </w:r>
      <w:r>
        <w:rPr>
          <w:rFonts w:cs="Arial"/>
          <w:lang w:val="en-US"/>
        </w:rPr>
        <w:t xml:space="preserve">” shall have the meaning set forth in </w:t>
      </w:r>
      <w:r>
        <w:rPr>
          <w:rFonts w:cs="Arial"/>
          <w:u w:val="single"/>
          <w:lang w:val="en-US"/>
        </w:rPr>
        <w:t>Section 5.6(B)</w:t>
      </w:r>
      <w:r>
        <w:rPr>
          <w:rFonts w:cs="Arial"/>
          <w:lang w:val="en-US"/>
        </w:rPr>
        <w:t xml:space="preserve">. </w:t>
      </w:r>
    </w:p>
    <w:p w:rsidR="0079779A" w:rsidRDefault="003E5439" w14:paraId="7F135821" w14:textId="77777777">
      <w:pPr>
        <w:pStyle w:val="BodyTextFirstIndent"/>
        <w:ind w:right="0"/>
        <w:rPr>
          <w:rFonts w:cs="Arial"/>
        </w:rPr>
      </w:pPr>
      <w:r>
        <w:rPr>
          <w:rFonts w:cs="Arial"/>
        </w:rPr>
        <w:t>“</w:t>
      </w:r>
      <w:r>
        <w:rPr>
          <w:rFonts w:cs="Arial"/>
          <w:u w:val="single"/>
        </w:rPr>
        <w:t>P</w:t>
      </w:r>
      <w:r>
        <w:rPr>
          <w:rFonts w:cs="Arial"/>
          <w:u w:val="single"/>
          <w:lang w:val="en-US"/>
        </w:rPr>
        <w:t>F</w:t>
      </w:r>
      <w:r>
        <w:rPr>
          <w:rFonts w:cs="Arial"/>
          <w:u w:val="single"/>
        </w:rPr>
        <w:t>T Notice</w:t>
      </w:r>
      <w:r>
        <w:rPr>
          <w:rFonts w:cs="Arial"/>
        </w:rPr>
        <w:t xml:space="preserve">” shall have the meaning set forth in </w:t>
      </w:r>
      <w:r>
        <w:rPr>
          <w:rFonts w:cs="Arial"/>
          <w:u w:val="single"/>
        </w:rPr>
        <w:t>Section 19.</w:t>
      </w:r>
      <w:r>
        <w:rPr>
          <w:rFonts w:cs="Arial"/>
          <w:u w:val="single"/>
          <w:lang w:val="en-US"/>
        </w:rPr>
        <w:t>4</w:t>
      </w:r>
      <w:r>
        <w:rPr>
          <w:rFonts w:cs="Arial"/>
        </w:rPr>
        <w:t>.</w:t>
      </w:r>
    </w:p>
    <w:p w:rsidR="0079779A" w:rsidRDefault="003E5439" w14:paraId="2428D5BD" w14:textId="77777777">
      <w:pPr>
        <w:pStyle w:val="BodyTextFirstIndent"/>
        <w:ind w:right="0"/>
        <w:rPr>
          <w:rFonts w:cs="Arial"/>
          <w:b/>
          <w:i/>
          <w:color w:val="FF0000"/>
          <w:sz w:val="20"/>
          <w:szCs w:val="20"/>
        </w:rPr>
      </w:pPr>
      <w:r>
        <w:rPr>
          <w:rFonts w:cs="Arial"/>
        </w:rPr>
        <w:t>“</w:t>
      </w:r>
      <w:r>
        <w:rPr>
          <w:rFonts w:cs="Arial"/>
          <w:u w:val="single"/>
        </w:rPr>
        <w:t>PI System</w:t>
      </w:r>
      <w:r>
        <w:rPr>
          <w:rFonts w:cs="Arial"/>
        </w:rPr>
        <w:t xml:space="preserve">” means the “plant information” system for the Facility.  </w:t>
      </w:r>
    </w:p>
    <w:p w:rsidR="0079779A" w:rsidRDefault="003E5439" w14:paraId="4D9C6EEE" w14:textId="77777777">
      <w:pPr>
        <w:pStyle w:val="BodyTextFirstIndent"/>
        <w:ind w:right="0"/>
        <w:rPr>
          <w:i/>
        </w:rPr>
      </w:pPr>
      <w:r>
        <w:t>“</w:t>
      </w:r>
      <w:r>
        <w:rPr>
          <w:u w:val="single"/>
        </w:rPr>
        <w:t>Point of Delivery</w:t>
      </w:r>
      <w:r>
        <w:t xml:space="preserve">” means the physical point within the operational authority of Transmission Authority at which </w:t>
      </w:r>
      <w:r>
        <w:rPr>
          <w:lang w:val="en-US"/>
        </w:rPr>
        <w:t xml:space="preserve">(i) </w:t>
      </w:r>
      <w:r>
        <w:t>Seller makes available and delivers to Company the Energy being provided by Seller to Company under this PPA</w:t>
      </w:r>
      <w:r>
        <w:rPr>
          <w:lang w:val="en-US"/>
        </w:rPr>
        <w:t xml:space="preserve"> and (ii) Company makes available and delivers to Seller the Charging Energy being provided by Company to Seller under this PPA</w:t>
      </w:r>
      <w:r>
        <w:t xml:space="preserve">.  The Point of Delivery is specified in </w:t>
      </w:r>
      <w:r>
        <w:rPr>
          <w:u w:val="single"/>
        </w:rPr>
        <w:t>Exhibit C – Facility Description and Site Maps</w:t>
      </w:r>
      <w:r>
        <w:t xml:space="preserve"> to this PPA.  </w:t>
      </w:r>
    </w:p>
    <w:p w:rsidR="0079779A" w:rsidRDefault="003E5439" w14:paraId="05586DF1" w14:textId="77777777">
      <w:pPr>
        <w:pStyle w:val="BodyTextFirstIndent"/>
        <w:spacing w:before="120"/>
        <w:ind w:right="0"/>
      </w:pPr>
      <w:r>
        <w:t>“</w:t>
      </w:r>
      <w:r>
        <w:rPr>
          <w:u w:val="single"/>
        </w:rPr>
        <w:t>PUC</w:t>
      </w:r>
      <w:r>
        <w:t>” means the Colorado Public Utilities Commission or any successor agency.</w:t>
      </w:r>
    </w:p>
    <w:p w:rsidR="0079779A" w:rsidRDefault="003E5439" w14:paraId="2C7E62FC" w14:textId="77777777">
      <w:pPr>
        <w:pStyle w:val="BodyTextFirstIndent"/>
        <w:ind w:right="0"/>
      </w:pPr>
      <w:r>
        <w:t>“</w:t>
      </w:r>
      <w:r>
        <w:rPr>
          <w:u w:val="single"/>
        </w:rPr>
        <w:t>PUC Approval</w:t>
      </w:r>
      <w:r>
        <w:t xml:space="preserve">” shall </w:t>
      </w:r>
      <w:r>
        <w:rPr>
          <w:rFonts w:cs="Arial"/>
        </w:rPr>
        <w:t>have the meaning set forth in</w:t>
      </w:r>
      <w:r>
        <w:t xml:space="preserve"> </w:t>
      </w:r>
      <w:r>
        <w:rPr>
          <w:u w:val="single"/>
        </w:rPr>
        <w:t>Section 6.1(</w:t>
      </w:r>
      <w:r>
        <w:rPr>
          <w:u w:val="single"/>
          <w:lang w:val="en-US"/>
        </w:rPr>
        <w:t>D</w:t>
      </w:r>
      <w:r>
        <w:rPr>
          <w:u w:val="single"/>
        </w:rPr>
        <w:t>)</w:t>
      </w:r>
      <w:r>
        <w:t>.</w:t>
      </w:r>
    </w:p>
    <w:p w:rsidR="0079779A" w:rsidRDefault="003E5439" w14:paraId="07A82C60" w14:textId="77777777">
      <w:pPr>
        <w:spacing w:after="240"/>
        <w:ind w:firstLine="720"/>
        <w:jc w:val="both"/>
      </w:pPr>
      <w:r>
        <w:t>“</w:t>
      </w:r>
      <w:r>
        <w:rPr>
          <w:u w:val="single"/>
        </w:rPr>
        <w:t>Qualified Operator</w:t>
      </w:r>
      <w:r>
        <w:t xml:space="preserve">” means an operator of battery energy storage systems that has sufficient experience to successfully operate the Facility, including a minimum of one (1) year of experience in the battery energy storage business, and owns, </w:t>
      </w:r>
      <w:proofErr w:type="gramStart"/>
      <w:r>
        <w:t>controls</w:t>
      </w:r>
      <w:proofErr w:type="gramEnd"/>
      <w:r>
        <w:t xml:space="preserve"> or operates a minimum of 20 MW and 40 MWh of battery energy storage capacity in aggregate with at least one facility that has at least 5 MW and 10 MWh of battery energy storage capacity.</w:t>
      </w:r>
    </w:p>
    <w:p w:rsidR="0079779A" w:rsidRDefault="003E5439" w14:paraId="59BB15A5" w14:textId="77777777">
      <w:pPr>
        <w:pStyle w:val="BodyTextFirstIndent"/>
        <w:ind w:right="0"/>
        <w:rPr>
          <w:lang w:val="en-US"/>
        </w:rPr>
      </w:pPr>
      <w:r>
        <w:rPr>
          <w:lang w:val="en-US"/>
        </w:rPr>
        <w:t>“</w:t>
      </w:r>
      <w:r>
        <w:rPr>
          <w:u w:val="single"/>
          <w:lang w:val="en-US"/>
        </w:rPr>
        <w:t>Ramp Rate</w:t>
      </w:r>
      <w:r>
        <w:rPr>
          <w:lang w:val="en-US"/>
        </w:rPr>
        <w:t xml:space="preserve">” shall have the meaning set forth in </w:t>
      </w:r>
      <w:r>
        <w:rPr>
          <w:rFonts w:cs="Arial"/>
          <w:u w:val="single"/>
          <w:lang w:val="en-US"/>
        </w:rPr>
        <w:t>Exhibit M – Battery Storage System Testing Protocols</w:t>
      </w:r>
      <w:r>
        <w:rPr>
          <w:rFonts w:cs="Arial"/>
          <w:lang w:val="en-US"/>
        </w:rPr>
        <w:t>.</w:t>
      </w:r>
      <w:r>
        <w:rPr>
          <w:rFonts w:cs="Arial"/>
        </w:rPr>
        <w:t xml:space="preserve"> </w:t>
      </w:r>
    </w:p>
    <w:p w:rsidR="0079779A" w:rsidRDefault="003E5439" w14:paraId="793A52AC" w14:textId="77777777">
      <w:pPr>
        <w:pStyle w:val="BodyTextFirstIndent"/>
        <w:ind w:right="0"/>
        <w:rPr>
          <w:rFonts w:cs="Arial"/>
          <w:lang w:val="en-US"/>
        </w:rPr>
      </w:pPr>
      <w:r>
        <w:rPr>
          <w:rFonts w:cs="Arial"/>
          <w:lang w:val="en-US"/>
        </w:rPr>
        <w:t>“</w:t>
      </w:r>
      <w:r>
        <w:rPr>
          <w:rFonts w:cs="Arial"/>
          <w:u w:val="single"/>
          <w:lang w:val="en-US"/>
        </w:rPr>
        <w:t>Repair Plan</w:t>
      </w:r>
      <w:r>
        <w:rPr>
          <w:rFonts w:cs="Arial"/>
          <w:lang w:val="en-US"/>
        </w:rPr>
        <w:t xml:space="preserve">” shall have the meaning set forth in </w:t>
      </w:r>
      <w:r>
        <w:rPr>
          <w:rFonts w:cs="Arial"/>
          <w:u w:val="single"/>
          <w:lang w:val="en-US"/>
        </w:rPr>
        <w:t>Section 10.3(A)</w:t>
      </w:r>
      <w:r>
        <w:rPr>
          <w:rFonts w:cs="Arial"/>
          <w:lang w:val="en-US"/>
        </w:rPr>
        <w:t>.</w:t>
      </w:r>
    </w:p>
    <w:p w:rsidR="0079779A" w:rsidRDefault="003E5439" w14:paraId="4D829ABA" w14:textId="77777777">
      <w:pPr>
        <w:pStyle w:val="BodyTextFirstIndent"/>
        <w:ind w:right="0"/>
      </w:pPr>
      <w:r>
        <w:t>“</w:t>
      </w:r>
      <w:r>
        <w:rPr>
          <w:u w:val="single"/>
        </w:rPr>
        <w:t>Replacement Power Costs</w:t>
      </w:r>
      <w:r>
        <w:t xml:space="preserve">” for any period mean the costs incurred by Company to replace the products and services </w:t>
      </w:r>
      <w:r>
        <w:rPr>
          <w:lang w:val="en-US"/>
        </w:rPr>
        <w:t>which</w:t>
      </w:r>
      <w:r>
        <w:t xml:space="preserve"> Seller was required to provide under this PPA (but failed to so provide) during such period, less the sum of any payments from Company to Seller under this PPA that were eliminated </w:t>
      </w:r>
      <w:r>
        <w:rPr>
          <w:lang w:val="en-US"/>
        </w:rPr>
        <w:t>with respect to</w:t>
      </w:r>
      <w:r>
        <w:t xml:space="preserve"> such period as a result of such failure.  Replacement Power Costs shall be determined on an hourly basis and shall equal the sum of the following for each hour where the following calculation achieves a positive number:  </w:t>
      </w:r>
    </w:p>
    <w:p w:rsidR="0079779A" w:rsidRDefault="003E5439" w14:paraId="2676B05B" w14:textId="77777777">
      <w:pPr>
        <w:pStyle w:val="BodyTextFirstIndent"/>
        <w:ind w:left="720" w:right="0"/>
      </w:pPr>
      <w:r>
        <w:t xml:space="preserve">Hourly Replacement Power Costs = (A + B + C) – </w:t>
      </w:r>
      <w:r>
        <w:rPr>
          <w:lang w:val="en-US"/>
        </w:rPr>
        <w:t>D</w:t>
      </w:r>
      <w:r>
        <w:t>, where</w:t>
      </w:r>
    </w:p>
    <w:p w:rsidR="0079779A" w:rsidRDefault="003E5439" w14:paraId="32586448" w14:textId="77777777">
      <w:pPr>
        <w:pStyle w:val="BodyTextFirstIndent"/>
        <w:ind w:left="1800" w:right="0" w:hanging="720"/>
      </w:pPr>
      <w:r>
        <w:t xml:space="preserve">“A” = the product of (x) the number of MW of lost capacity, derived by subtracting the number of MW of capacity of the Facility that qualifies for capacity credit actually made available to Company from the amount of qualifying capacity associated with the entire Facility, and (y) the applicable market price for capacity made available to Company’s system, for such hour; </w:t>
      </w:r>
    </w:p>
    <w:p w:rsidR="0079779A" w:rsidRDefault="003E5439" w14:paraId="040BF41A" w14:textId="77777777">
      <w:pPr>
        <w:pStyle w:val="BodyTextFirstIndent"/>
        <w:ind w:left="1800" w:right="0" w:hanging="720"/>
      </w:pPr>
      <w:r>
        <w:lastRenderedPageBreak/>
        <w:t xml:space="preserve">“B” = </w:t>
      </w:r>
      <w:r>
        <w:tab/>
        <w:t xml:space="preserve">the </w:t>
      </w:r>
      <w:r>
        <w:rPr>
          <w:lang w:val="en-US"/>
        </w:rPr>
        <w:t>price paid by Company for</w:t>
      </w:r>
      <w:r>
        <w:t xml:space="preserve"> the MWh of energy purchased by Company to replace the Energy that was not delivered under this PPA during such hour; </w:t>
      </w:r>
    </w:p>
    <w:p w:rsidR="0079779A" w:rsidRDefault="003E5439" w14:paraId="59A04A08" w14:textId="77777777">
      <w:pPr>
        <w:pStyle w:val="BodyTextFirstIndent"/>
        <w:tabs>
          <w:tab w:val="left" w:pos="1800"/>
        </w:tabs>
        <w:ind w:left="1800" w:right="0" w:hanging="720"/>
      </w:pPr>
      <w:r>
        <w:t>“</w:t>
      </w:r>
      <w:r>
        <w:rPr>
          <w:lang w:val="en-US"/>
        </w:rPr>
        <w:t>C</w:t>
      </w:r>
      <w:r>
        <w:t>” =</w:t>
      </w:r>
      <w:r>
        <w:tab/>
        <w:t xml:space="preserve">the actual cost of transmission, </w:t>
      </w:r>
      <w:r>
        <w:rPr>
          <w:lang w:val="en-US"/>
        </w:rPr>
        <w:t>A</w:t>
      </w:r>
      <w:proofErr w:type="spellStart"/>
      <w:r>
        <w:t>ncillary</w:t>
      </w:r>
      <w:proofErr w:type="spellEnd"/>
      <w:r>
        <w:t xml:space="preserve"> </w:t>
      </w:r>
      <w:r>
        <w:rPr>
          <w:lang w:val="en-US"/>
        </w:rPr>
        <w:t>S</w:t>
      </w:r>
      <w:proofErr w:type="spellStart"/>
      <w:r>
        <w:t>ervices</w:t>
      </w:r>
      <w:proofErr w:type="spellEnd"/>
      <w:r>
        <w:t xml:space="preserve">, fuel and fuel transportation, </w:t>
      </w:r>
      <w:r>
        <w:rPr>
          <w:lang w:val="en-US"/>
        </w:rPr>
        <w:t xml:space="preserve">other incremental costs, and any </w:t>
      </w:r>
      <w:r>
        <w:t>related penalties that could not be avoided or mitigated, and transaction charges to deliver reasonably available energy to Company in amounts equal to the number of MWh for which Replacement Power Costs are owed;  and</w:t>
      </w:r>
    </w:p>
    <w:p w:rsidR="0079779A" w:rsidRDefault="003E5439" w14:paraId="754504C5" w14:textId="77777777">
      <w:pPr>
        <w:pStyle w:val="BodyTextFirstIndent"/>
        <w:ind w:left="1800" w:right="0" w:hanging="720"/>
      </w:pPr>
      <w:r>
        <w:t>“</w:t>
      </w:r>
      <w:r>
        <w:rPr>
          <w:lang w:val="en-US"/>
        </w:rPr>
        <w:t>D</w:t>
      </w:r>
      <w:r>
        <w:t xml:space="preserve">” = </w:t>
      </w:r>
      <w:r>
        <w:tab/>
        <w:t xml:space="preserve">the  sum of all </w:t>
      </w:r>
      <w:r>
        <w:rPr>
          <w:lang w:val="en-US"/>
        </w:rPr>
        <w:t xml:space="preserve">payments </w:t>
      </w:r>
      <w:r>
        <w:t>avoided by Company as a result of Seller’s breach, for such hour</w:t>
      </w:r>
      <w:r>
        <w:rPr>
          <w:lang w:val="en-US"/>
        </w:rPr>
        <w:t xml:space="preserve">, including avoided payments under </w:t>
      </w:r>
      <w:r>
        <w:rPr>
          <w:u w:val="single"/>
          <w:lang w:val="en-US"/>
        </w:rPr>
        <w:t>Article 8</w:t>
      </w:r>
      <w:r>
        <w:t>.</w:t>
      </w:r>
    </w:p>
    <w:p w:rsidR="0079779A" w:rsidRDefault="003E5439" w14:paraId="73D50109" w14:textId="77777777">
      <w:pPr>
        <w:pStyle w:val="BodyTextFirstIndent"/>
        <w:ind w:right="0"/>
        <w:rPr>
          <w:lang w:val="en-US"/>
        </w:rPr>
      </w:pPr>
      <w:r>
        <w:rPr>
          <w:lang w:val="en-US"/>
        </w:rPr>
        <w:t>“</w:t>
      </w:r>
      <w:r>
        <w:rPr>
          <w:u w:val="single"/>
          <w:lang w:val="en-US"/>
        </w:rPr>
        <w:t>Response Time</w:t>
      </w:r>
      <w:r>
        <w:rPr>
          <w:lang w:val="en-US"/>
        </w:rPr>
        <w:t xml:space="preserve">” </w:t>
      </w:r>
      <w:r>
        <w:rPr>
          <w:rFonts w:cs="Arial"/>
          <w:lang w:val="en-US"/>
        </w:rPr>
        <w:t xml:space="preserve">shall have the meaning set forth in </w:t>
      </w:r>
      <w:r>
        <w:rPr>
          <w:rFonts w:cs="Arial"/>
          <w:u w:val="single"/>
          <w:lang w:val="en-US"/>
        </w:rPr>
        <w:t>Exhibit M – Battery Storage System Testing Protocols</w:t>
      </w:r>
      <w:r>
        <w:rPr>
          <w:rFonts w:cs="Arial"/>
          <w:lang w:val="en-US"/>
        </w:rPr>
        <w:t>.</w:t>
      </w:r>
    </w:p>
    <w:p w:rsidR="0079779A" w:rsidRDefault="003E5439" w14:paraId="4D959FB1" w14:textId="77777777">
      <w:pPr>
        <w:pStyle w:val="BodyTextFirstIndent"/>
        <w:ind w:right="0"/>
      </w:pPr>
      <w:r>
        <w:t>“</w:t>
      </w:r>
      <w:r>
        <w:rPr>
          <w:u w:val="single"/>
        </w:rPr>
        <w:t>ROFO</w:t>
      </w:r>
      <w:r>
        <w:t>” and “</w:t>
      </w:r>
      <w:r>
        <w:rPr>
          <w:u w:val="single"/>
        </w:rPr>
        <w:t>ROFO Notice</w:t>
      </w:r>
      <w:r>
        <w:t xml:space="preserve">” shall have the meanings set forth in </w:t>
      </w:r>
      <w:r>
        <w:rPr>
          <w:u w:val="single"/>
        </w:rPr>
        <w:t>Section 19.3</w:t>
      </w:r>
      <w:r>
        <w:t>.</w:t>
      </w:r>
    </w:p>
    <w:p w:rsidR="0079779A" w:rsidRDefault="003E5439" w14:paraId="001C3906" w14:textId="77777777">
      <w:pPr>
        <w:pStyle w:val="BodyTextFirstIndent"/>
        <w:ind w:right="0"/>
        <w:rPr>
          <w:rFonts w:cs="Arial"/>
        </w:rPr>
      </w:pPr>
      <w:r>
        <w:rPr>
          <w:rFonts w:cs="Arial"/>
        </w:rPr>
        <w:t>“</w:t>
      </w:r>
      <w:r>
        <w:rPr>
          <w:rFonts w:cs="Arial"/>
          <w:u w:val="single"/>
        </w:rPr>
        <w:t>Round Trip Efficiency</w:t>
      </w:r>
      <w:r>
        <w:rPr>
          <w:rFonts w:cs="Arial"/>
        </w:rPr>
        <w:t>” or “</w:t>
      </w:r>
      <w:r>
        <w:rPr>
          <w:rFonts w:cs="Arial"/>
          <w:u w:val="single"/>
        </w:rPr>
        <w:t>RTE</w:t>
      </w:r>
      <w:r>
        <w:rPr>
          <w:rFonts w:cs="Arial"/>
        </w:rPr>
        <w:t xml:space="preserve">” </w:t>
      </w:r>
      <w:r>
        <w:rPr>
          <w:rFonts w:cs="Arial"/>
          <w:lang w:val="en-US"/>
        </w:rPr>
        <w:t xml:space="preserve">shall have the meaning set forth in </w:t>
      </w:r>
      <w:r>
        <w:rPr>
          <w:rFonts w:cs="Arial"/>
          <w:u w:val="single"/>
          <w:lang w:val="en-US"/>
        </w:rPr>
        <w:t>Exhibit M – Battery Storage System Testing Protocols</w:t>
      </w:r>
      <w:r>
        <w:rPr>
          <w:rFonts w:cs="Arial"/>
          <w:lang w:val="en-US"/>
        </w:rPr>
        <w:t>.</w:t>
      </w:r>
      <w:r>
        <w:rPr>
          <w:rFonts w:cs="Arial"/>
        </w:rPr>
        <w:t xml:space="preserve"> </w:t>
      </w:r>
    </w:p>
    <w:p w:rsidR="0079779A" w:rsidRDefault="003E5439" w14:paraId="55C447FC" w14:textId="77777777">
      <w:pPr>
        <w:pStyle w:val="BodyTextFirstIndent"/>
        <w:ind w:right="0"/>
        <w:rPr>
          <w:lang w:val="en-US"/>
        </w:rPr>
      </w:pPr>
      <w:r>
        <w:rPr>
          <w:rFonts w:cs="Arial"/>
          <w:lang w:val="en-US"/>
        </w:rPr>
        <w:t>“</w:t>
      </w:r>
      <w:r>
        <w:rPr>
          <w:rFonts w:cs="Arial"/>
          <w:u w:val="single"/>
          <w:lang w:val="en-US"/>
        </w:rPr>
        <w:t>Round Trip Efficiency Adjustment</w:t>
      </w:r>
      <w:r>
        <w:rPr>
          <w:rFonts w:cs="Arial"/>
          <w:lang w:val="en-US"/>
        </w:rPr>
        <w:t xml:space="preserve">” shall have the meaning set forth in </w:t>
      </w:r>
      <w:r>
        <w:rPr>
          <w:rFonts w:cs="Arial"/>
          <w:u w:val="single"/>
          <w:lang w:val="en-US"/>
        </w:rPr>
        <w:t>Section 8.4</w:t>
      </w:r>
      <w:r>
        <w:rPr>
          <w:rFonts w:cs="Arial"/>
          <w:lang w:val="en-US"/>
        </w:rPr>
        <w:t xml:space="preserve">. </w:t>
      </w:r>
    </w:p>
    <w:p w:rsidR="0079779A" w:rsidRDefault="003E5439" w14:paraId="660A8036" w14:textId="77777777">
      <w:pPr>
        <w:pStyle w:val="BodyTextFirstIndent"/>
        <w:ind w:right="0"/>
        <w:rPr>
          <w:lang w:val="en-US"/>
        </w:rPr>
      </w:pPr>
      <w:r>
        <w:rPr>
          <w:lang w:val="en-US"/>
        </w:rPr>
        <w:t>“</w:t>
      </w:r>
      <w:r>
        <w:rPr>
          <w:u w:val="single"/>
          <w:lang w:val="en-US"/>
        </w:rPr>
        <w:t>Safety Requirements</w:t>
      </w:r>
      <w:r>
        <w:rPr>
          <w:lang w:val="en-US"/>
        </w:rPr>
        <w:t xml:space="preserve">” means those requirements set forth in </w:t>
      </w:r>
      <w:r>
        <w:rPr>
          <w:u w:val="single"/>
          <w:lang w:val="en-US"/>
        </w:rPr>
        <w:t>Exhibit P – Safety Requirements</w:t>
      </w:r>
      <w:r>
        <w:rPr>
          <w:lang w:val="en-US"/>
        </w:rPr>
        <w:t xml:space="preserve">, in addition to any other safety-related practices required by Applicable Law and Good Utility Practice. </w:t>
      </w:r>
    </w:p>
    <w:p w:rsidR="0079779A" w:rsidRDefault="003E5439" w14:paraId="3BE594E6" w14:textId="77777777">
      <w:pPr>
        <w:pStyle w:val="BodyTextFirstIndent"/>
        <w:ind w:right="0"/>
      </w:pPr>
      <w:r>
        <w:t>“</w:t>
      </w:r>
      <w:r>
        <w:rPr>
          <w:u w:val="single"/>
        </w:rPr>
        <w:t>SCADA</w:t>
      </w:r>
      <w:r>
        <w:t>” means supervisory control and data acquisition.</w:t>
      </w:r>
    </w:p>
    <w:p w:rsidR="0079779A" w:rsidRDefault="003E5439" w14:paraId="718E0A00" w14:textId="77777777">
      <w:pPr>
        <w:pStyle w:val="BodyTextFirstIndent"/>
        <w:ind w:right="0"/>
      </w:pPr>
      <w:r>
        <w:t>“</w:t>
      </w:r>
      <w:r>
        <w:rPr>
          <w:u w:val="single"/>
        </w:rPr>
        <w:t>Scheduled Termination Date</w:t>
      </w:r>
      <w:r>
        <w:t xml:space="preserve">” shall have the meaning set forth in </w:t>
      </w:r>
      <w:r>
        <w:rPr>
          <w:u w:val="single"/>
        </w:rPr>
        <w:t>Article 2</w:t>
      </w:r>
      <w:r>
        <w:t>.</w:t>
      </w:r>
    </w:p>
    <w:p w:rsidR="0079779A" w:rsidRDefault="003E5439" w14:paraId="7122A905" w14:textId="77777777">
      <w:pPr>
        <w:pStyle w:val="BodyTextFirstIndent"/>
        <w:ind w:right="0"/>
      </w:pPr>
      <w:r>
        <w:t>“</w:t>
      </w:r>
      <w:r>
        <w:rPr>
          <w:u w:val="single"/>
        </w:rPr>
        <w:t>Security Fund</w:t>
      </w:r>
      <w:r>
        <w:t xml:space="preserve">” shall have the meaning set forth in </w:t>
      </w:r>
      <w:r>
        <w:rPr>
          <w:u w:val="single"/>
        </w:rPr>
        <w:t>Section 11.1</w:t>
      </w:r>
      <w:r>
        <w:t>.</w:t>
      </w:r>
    </w:p>
    <w:p w:rsidR="0079779A" w:rsidRDefault="003E5439" w14:paraId="59BB0AF1" w14:textId="77777777">
      <w:pPr>
        <w:pStyle w:val="BodyTextFirstIndent"/>
        <w:ind w:right="0"/>
        <w:rPr>
          <w:lang w:val="en-US"/>
        </w:rPr>
      </w:pPr>
      <w:r>
        <w:t xml:space="preserve"> </w:t>
      </w:r>
      <w:r>
        <w:rPr>
          <w:lang w:val="en-US"/>
        </w:rPr>
        <w:t>“</w:t>
      </w:r>
      <w:r>
        <w:rPr>
          <w:u w:val="single"/>
          <w:lang w:val="en-US"/>
        </w:rPr>
        <w:t>Seller Initiated Test</w:t>
      </w:r>
      <w:r>
        <w:rPr>
          <w:lang w:val="en-US"/>
        </w:rPr>
        <w:t xml:space="preserve">” shall have the meaning set forth in </w:t>
      </w:r>
      <w:r>
        <w:rPr>
          <w:u w:val="single"/>
          <w:lang w:val="en-US"/>
        </w:rPr>
        <w:t>Section 5.6(A)</w:t>
      </w:r>
      <w:r>
        <w:rPr>
          <w:lang w:val="en-US"/>
        </w:rPr>
        <w:t>.</w:t>
      </w:r>
    </w:p>
    <w:p w:rsidR="0079779A" w:rsidRDefault="003E5439" w14:paraId="779FAF91" w14:textId="77777777">
      <w:pPr>
        <w:pStyle w:val="BodyTextFirstIndent"/>
        <w:ind w:right="0"/>
      </w:pPr>
      <w:r>
        <w:t>“</w:t>
      </w:r>
      <w:r>
        <w:rPr>
          <w:u w:val="single"/>
        </w:rPr>
        <w:t>Site</w:t>
      </w:r>
      <w:r>
        <w:t xml:space="preserve">” means the parcel of real property on which the Facility will be located, including any easements, rights of way, surface use agreements and other interests or rights in real estate necessary for the construction, operation and maintenance of the Facility.  The Site is more specifically described in </w:t>
      </w:r>
      <w:r>
        <w:rPr>
          <w:u w:val="single"/>
        </w:rPr>
        <w:t>Exhibit C – Facility Description and Site Maps</w:t>
      </w:r>
      <w:r>
        <w:t xml:space="preserve"> to this PPA.</w:t>
      </w:r>
    </w:p>
    <w:p w:rsidR="0079779A" w:rsidRDefault="003E5439" w14:paraId="441F3CB8" w14:textId="77777777">
      <w:pPr>
        <w:spacing w:before="120" w:after="240"/>
        <w:ind w:firstLine="720"/>
        <w:outlineLvl w:val="2"/>
      </w:pPr>
      <w:r>
        <w:t xml:space="preserve"> “</w:t>
      </w:r>
      <w:r>
        <w:rPr>
          <w:u w:val="single"/>
        </w:rPr>
        <w:t>State of Charge</w:t>
      </w:r>
      <w:r>
        <w:t>” or “</w:t>
      </w:r>
      <w:r>
        <w:rPr>
          <w:u w:val="single"/>
        </w:rPr>
        <w:t>SOC</w:t>
      </w:r>
      <w:r>
        <w:t xml:space="preserve">” means the amount of electric energy in a Battery Unit expressed as a percent of the Storage Capacity. </w:t>
      </w:r>
    </w:p>
    <w:p w:rsidR="0079779A" w:rsidRDefault="003E5439" w14:paraId="7D69402C" w14:textId="77777777">
      <w:pPr>
        <w:spacing w:before="120" w:after="240"/>
        <w:ind w:firstLine="720"/>
        <w:outlineLvl w:val="2"/>
      </w:pPr>
      <w:r>
        <w:t xml:space="preserve"> “</w:t>
      </w:r>
      <w:r>
        <w:rPr>
          <w:u w:val="single"/>
        </w:rPr>
        <w:t>Storage Capacity</w:t>
      </w:r>
      <w:r>
        <w:t xml:space="preserve">” shall have the meaning set forth in </w:t>
      </w:r>
      <w:r>
        <w:rPr>
          <w:u w:val="single"/>
        </w:rPr>
        <w:t xml:space="preserve">Exhibit M – </w:t>
      </w:r>
      <w:r>
        <w:rPr>
          <w:rFonts w:cs="Arial"/>
          <w:u w:val="single"/>
        </w:rPr>
        <w:t xml:space="preserve">Battery Storage System </w:t>
      </w:r>
      <w:r>
        <w:rPr>
          <w:u w:val="single"/>
        </w:rPr>
        <w:t>Testing Protocols</w:t>
      </w:r>
      <w:r>
        <w:t>.</w:t>
      </w:r>
    </w:p>
    <w:p w:rsidR="0079779A" w:rsidRDefault="003E5439" w14:paraId="49CFD650" w14:textId="77777777">
      <w:pPr>
        <w:spacing w:before="120" w:after="240"/>
        <w:ind w:firstLine="720"/>
        <w:outlineLvl w:val="2"/>
        <w:rPr>
          <w:u w:val="single"/>
        </w:rPr>
      </w:pPr>
      <w:r>
        <w:lastRenderedPageBreak/>
        <w:t>“</w:t>
      </w:r>
      <w:r>
        <w:rPr>
          <w:u w:val="single"/>
        </w:rPr>
        <w:t>Successful Remedy</w:t>
      </w:r>
      <w:r>
        <w:t xml:space="preserve">” shall have the meaning set forth in </w:t>
      </w:r>
      <w:r>
        <w:rPr>
          <w:u w:val="single"/>
        </w:rPr>
        <w:t>Section 10.3(A)</w:t>
      </w:r>
      <w:r>
        <w:t>.</w:t>
      </w:r>
      <w:r>
        <w:rPr>
          <w:u w:val="single"/>
        </w:rPr>
        <w:t xml:space="preserve"> </w:t>
      </w:r>
    </w:p>
    <w:p w:rsidR="0079779A" w:rsidRDefault="003E5439" w14:paraId="455D9E7E" w14:textId="77777777">
      <w:pPr>
        <w:spacing w:before="120" w:after="240"/>
        <w:ind w:firstLine="720"/>
        <w:jc w:val="both"/>
        <w:outlineLvl w:val="2"/>
      </w:pPr>
      <w:r>
        <w:t>“</w:t>
      </w:r>
      <w:r>
        <w:rPr>
          <w:u w:val="single"/>
        </w:rPr>
        <w:t>Tax Credit Legislation</w:t>
      </w:r>
      <w:r>
        <w:t xml:space="preserve">” </w:t>
      </w:r>
      <w:r w:rsidRPr="009A641E" w:rsidR="009A641E">
        <w:t xml:space="preserve">means any federal or state legislation enacted into law that provides federal or state income tax credits, direct </w:t>
      </w:r>
      <w:proofErr w:type="gramStart"/>
      <w:r w:rsidRPr="009A641E" w:rsidR="009A641E">
        <w:t>payment</w:t>
      </w:r>
      <w:proofErr w:type="gramEnd"/>
      <w:r w:rsidRPr="009A641E" w:rsidR="009A641E">
        <w:t xml:space="preserve"> or other monetary incentives, for owners of facilities that utilize equipment which receives, stores, and delivers electric energy using batteries or other energy storage technologies</w:t>
      </w:r>
      <w:r>
        <w:t>.</w:t>
      </w:r>
    </w:p>
    <w:p w:rsidR="0079779A" w:rsidRDefault="003E5439" w14:paraId="3396230A" w14:textId="77777777">
      <w:pPr>
        <w:pStyle w:val="BodyTextFirstIndent"/>
        <w:ind w:right="0"/>
      </w:pPr>
      <w:r>
        <w:t>“</w:t>
      </w:r>
      <w:r>
        <w:rPr>
          <w:u w:val="single"/>
        </w:rPr>
        <w:t>Target COD</w:t>
      </w:r>
      <w:r>
        <w:t xml:space="preserve">” shall have the meaning set forth in </w:t>
      </w:r>
      <w:r>
        <w:rPr>
          <w:u w:val="single"/>
        </w:rPr>
        <w:t>Section 4.5(A</w:t>
      </w:r>
      <w:r>
        <w:t>).</w:t>
      </w:r>
    </w:p>
    <w:p w:rsidR="0079779A" w:rsidRDefault="003E5439" w14:paraId="21CAF341" w14:textId="77777777">
      <w:pPr>
        <w:pStyle w:val="BodyTextFirstIndent"/>
        <w:ind w:right="0"/>
        <w:rPr>
          <w:lang w:val="en-US"/>
        </w:rPr>
      </w:pPr>
      <w:r>
        <w:rPr>
          <w:lang w:val="en-US"/>
        </w:rPr>
        <w:t>“</w:t>
      </w:r>
      <w:r>
        <w:rPr>
          <w:u w:val="single"/>
          <w:lang w:val="en-US"/>
        </w:rPr>
        <w:t>Technical Dispute</w:t>
      </w:r>
      <w:r>
        <w:rPr>
          <w:lang w:val="en-US"/>
        </w:rPr>
        <w:t xml:space="preserve">” shall have the meaning set forth in </w:t>
      </w:r>
      <w:r>
        <w:rPr>
          <w:u w:val="single"/>
          <w:lang w:val="en-US"/>
        </w:rPr>
        <w:t>Section 13.1(A)</w:t>
      </w:r>
      <w:r>
        <w:rPr>
          <w:lang w:val="en-US"/>
        </w:rPr>
        <w:t xml:space="preserve">. </w:t>
      </w:r>
    </w:p>
    <w:p w:rsidR="0079779A" w:rsidRDefault="003E5439" w14:paraId="01E2B612" w14:textId="77777777">
      <w:pPr>
        <w:pStyle w:val="BodyTextFirstIndent"/>
        <w:ind w:right="0"/>
      </w:pPr>
      <w:r>
        <w:t>“</w:t>
      </w:r>
      <w:r>
        <w:rPr>
          <w:u w:val="single"/>
        </w:rPr>
        <w:t>Term</w:t>
      </w:r>
      <w:r>
        <w:t xml:space="preserve">” means the period of time during which this PPA remains in full force and effect, as further defined in </w:t>
      </w:r>
      <w:r>
        <w:rPr>
          <w:u w:val="single"/>
        </w:rPr>
        <w:t>Article 2</w:t>
      </w:r>
      <w:r>
        <w:t>.</w:t>
      </w:r>
    </w:p>
    <w:p w:rsidR="0079779A" w:rsidRDefault="003E5439" w14:paraId="716F7F84" w14:textId="77777777">
      <w:pPr>
        <w:pStyle w:val="BodyTextFirstIndent"/>
        <w:ind w:right="0"/>
        <w:rPr>
          <w:lang w:val="en-US"/>
        </w:rPr>
      </w:pPr>
      <w:r>
        <w:rPr>
          <w:lang w:val="en-US"/>
        </w:rPr>
        <w:t>“</w:t>
      </w:r>
      <w:r>
        <w:rPr>
          <w:u w:val="single"/>
          <w:lang w:val="en-US"/>
        </w:rPr>
        <w:t>Test</w:t>
      </w:r>
      <w:r>
        <w:rPr>
          <w:lang w:val="en-US"/>
        </w:rPr>
        <w:t xml:space="preserve">” shall have the meaning set forth in the first paragraph of </w:t>
      </w:r>
      <w:r>
        <w:rPr>
          <w:u w:val="single"/>
          <w:lang w:val="en-US"/>
        </w:rPr>
        <w:t xml:space="preserve">Exhibit M – </w:t>
      </w:r>
      <w:r>
        <w:rPr>
          <w:rFonts w:cs="Arial"/>
          <w:u w:val="single"/>
          <w:lang w:val="en-US"/>
        </w:rPr>
        <w:t xml:space="preserve">Battery Storage System </w:t>
      </w:r>
      <w:r>
        <w:rPr>
          <w:u w:val="single"/>
          <w:lang w:val="en-US"/>
        </w:rPr>
        <w:t>Testing Protocols</w:t>
      </w:r>
      <w:r>
        <w:rPr>
          <w:lang w:val="en-US"/>
        </w:rPr>
        <w:t xml:space="preserve">. </w:t>
      </w:r>
    </w:p>
    <w:p w:rsidR="0079779A" w:rsidRDefault="003E5439" w14:paraId="5D7BE6E3" w14:textId="77777777">
      <w:pPr>
        <w:spacing w:after="240"/>
        <w:ind w:firstLine="720"/>
        <w:jc w:val="both"/>
      </w:pPr>
      <w:r>
        <w:rPr>
          <w:rFonts w:cs="Arial"/>
        </w:rPr>
        <w:t xml:space="preserve"> “</w:t>
      </w:r>
      <w:r>
        <w:rPr>
          <w:rFonts w:cs="Arial"/>
          <w:u w:val="single"/>
        </w:rPr>
        <w:t>Total Equivalent Forced Outage Hours</w:t>
      </w:r>
      <w:r>
        <w:rPr>
          <w:rFonts w:cs="Arial"/>
        </w:rPr>
        <w:t xml:space="preserve">” </w:t>
      </w:r>
      <w:r>
        <w:t xml:space="preserve">shall have the meaning set forth in </w:t>
      </w:r>
      <w:r>
        <w:rPr>
          <w:u w:val="single"/>
        </w:rPr>
        <w:t xml:space="preserve">Section </w:t>
      </w:r>
      <w:r>
        <w:rPr>
          <w:rFonts w:cs="Arial"/>
          <w:u w:val="single"/>
        </w:rPr>
        <w:t>8.</w:t>
      </w:r>
      <w:r>
        <w:rPr>
          <w:u w:val="single"/>
        </w:rPr>
        <w:t>4</w:t>
      </w:r>
      <w:r>
        <w:rPr>
          <w:rFonts w:cs="Arial"/>
          <w:u w:val="single"/>
        </w:rPr>
        <w:t>(C)</w:t>
      </w:r>
      <w:r>
        <w:rPr>
          <w:rFonts w:cs="Arial"/>
        </w:rPr>
        <w:t>.</w:t>
      </w:r>
      <w:r>
        <w:t xml:space="preserve"> </w:t>
      </w:r>
    </w:p>
    <w:p w:rsidR="0079779A" w:rsidRDefault="003E5439" w14:paraId="75556DA6" w14:textId="77777777">
      <w:pPr>
        <w:spacing w:after="240"/>
        <w:ind w:firstLine="720"/>
        <w:jc w:val="both"/>
        <w:rPr>
          <w:rFonts w:cs="Arial"/>
        </w:rPr>
      </w:pPr>
      <w:r>
        <w:rPr>
          <w:rFonts w:cs="Arial"/>
        </w:rPr>
        <w:t>“</w:t>
      </w:r>
      <w:r>
        <w:rPr>
          <w:rFonts w:cs="Arial"/>
          <w:u w:val="single"/>
        </w:rPr>
        <w:t>Total Equivalent Planned Outage Hours</w:t>
      </w:r>
      <w:r>
        <w:rPr>
          <w:rFonts w:cs="Arial"/>
        </w:rPr>
        <w:t xml:space="preserve">” shall have the meaning set forth in </w:t>
      </w:r>
      <w:r>
        <w:rPr>
          <w:rFonts w:cs="Arial"/>
          <w:u w:val="single"/>
        </w:rPr>
        <w:t>Section 8.4(C)</w:t>
      </w:r>
      <w:r>
        <w:rPr>
          <w:rFonts w:cs="Arial"/>
        </w:rPr>
        <w:t>.</w:t>
      </w:r>
    </w:p>
    <w:p w:rsidR="0079779A" w:rsidRDefault="003E5439" w14:paraId="695C7BAD" w14:textId="77777777">
      <w:pPr>
        <w:pStyle w:val="BodyTextFirstIndent"/>
        <w:ind w:right="0"/>
      </w:pPr>
      <w:r>
        <w:rPr>
          <w:lang w:val="en-US"/>
        </w:rPr>
        <w:t xml:space="preserve"> </w:t>
      </w:r>
      <w:r>
        <w:t>“</w:t>
      </w:r>
      <w:r>
        <w:rPr>
          <w:u w:val="single"/>
        </w:rPr>
        <w:t>Transmission Authority</w:t>
      </w:r>
      <w:r>
        <w:t xml:space="preserve">” means collectively those entities owning and/or operating the interconnected transmission system applicable to Seller and the Facility pursuant to a Transmission Tariff, including (i) </w:t>
      </w:r>
      <w:r>
        <w:rPr>
          <w:lang w:val="en-US"/>
        </w:rPr>
        <w:t>Public Service Company of Colorado</w:t>
      </w:r>
      <w:r>
        <w:t xml:space="preserve"> operating under and in accordance with its Transmission Tariff, and (ii) all entity(</w:t>
      </w:r>
      <w:proofErr w:type="spellStart"/>
      <w:r>
        <w:rPr>
          <w:lang w:val="en-US"/>
        </w:rPr>
        <w:t>ie</w:t>
      </w:r>
      <w:proofErr w:type="spellEnd"/>
      <w:r>
        <w:t>s) responsible under the Interconnection Agreement for providing the transmission lines, any Interconnection Facilities and other equipment and facilities with which the Facility interconnects at the Interconnection Point and transmission system.</w:t>
      </w:r>
    </w:p>
    <w:p w:rsidR="0079779A" w:rsidRDefault="003E5439" w14:paraId="1C019E27" w14:textId="77777777">
      <w:pPr>
        <w:pStyle w:val="BodyTextFirstIndent"/>
        <w:ind w:right="0"/>
      </w:pPr>
      <w:r>
        <w:t>“</w:t>
      </w:r>
      <w:r>
        <w:rPr>
          <w:u w:val="single"/>
        </w:rPr>
        <w:t>Transmission Authority’s System</w:t>
      </w:r>
      <w:r>
        <w:t>” means the contiguously interconnected electric transmission and sub-transmission facilities, over which the Transmission Authority has rights (by ownership or contract) to provide bulk transmission of capacity and energy from the Interconnection Point.</w:t>
      </w:r>
    </w:p>
    <w:p w:rsidR="0079779A" w:rsidRDefault="003E5439" w14:paraId="051CECC7" w14:textId="77777777">
      <w:pPr>
        <w:pStyle w:val="BodyTextFirstIndent"/>
        <w:ind w:right="0"/>
      </w:pPr>
      <w:r>
        <w:t>“</w:t>
      </w:r>
      <w:r>
        <w:rPr>
          <w:u w:val="single"/>
        </w:rPr>
        <w:t>Transmission Tariff</w:t>
      </w:r>
      <w:r>
        <w:t xml:space="preserve">” means </w:t>
      </w:r>
      <w:r>
        <w:rPr>
          <w:rFonts w:cs="Arial"/>
        </w:rPr>
        <w:t>the</w:t>
      </w:r>
      <w:r>
        <w:t xml:space="preserve"> applicable Open Access Transmission </w:t>
      </w:r>
      <w:r>
        <w:rPr>
          <w:lang w:val="en-US"/>
        </w:rPr>
        <w:t xml:space="preserve">Tariff </w:t>
      </w:r>
      <w:r>
        <w:t>of the Transmission Authority, as amended from time to time.</w:t>
      </w:r>
    </w:p>
    <w:p w:rsidR="0079779A" w:rsidRDefault="003E5439" w14:paraId="41B44105" w14:textId="77777777">
      <w:pPr>
        <w:pStyle w:val="BodyTextFirstIndent"/>
        <w:ind w:right="0"/>
        <w:rPr>
          <w:lang w:val="en-US"/>
        </w:rPr>
      </w:pPr>
      <w:r>
        <w:rPr>
          <w:lang w:val="en-US"/>
        </w:rPr>
        <w:t>“</w:t>
      </w:r>
      <w:r>
        <w:rPr>
          <w:u w:val="single"/>
          <w:lang w:val="en-US"/>
        </w:rPr>
        <w:t>Ultimate Parent</w:t>
      </w:r>
      <w:r>
        <w:rPr>
          <w:lang w:val="en-US"/>
        </w:rPr>
        <w:t>” shall have the meaning set forth in the definition of Change of Control.</w:t>
      </w:r>
    </w:p>
    <w:p w:rsidR="0079779A" w:rsidRDefault="003E5439" w14:paraId="3B2F3588" w14:textId="77777777">
      <w:pPr>
        <w:pStyle w:val="BodyTextFirstIndent"/>
        <w:ind w:right="0"/>
      </w:pPr>
      <w:r>
        <w:t>“</w:t>
      </w:r>
      <w:r>
        <w:rPr>
          <w:u w:val="single"/>
          <w:lang w:val="en-US"/>
        </w:rPr>
        <w:t>Variable O&amp;M Payment</w:t>
      </w:r>
      <w:r>
        <w:t>”</w:t>
      </w:r>
      <w:r>
        <w:rPr>
          <w:lang w:val="en-US"/>
        </w:rPr>
        <w:t xml:space="preserve"> </w:t>
      </w:r>
      <w:r>
        <w:rPr>
          <w:rFonts w:cs="Arial"/>
        </w:rPr>
        <w:t xml:space="preserve">shall have the meaning set forth in </w:t>
      </w:r>
      <w:r>
        <w:rPr>
          <w:rFonts w:cs="Arial"/>
          <w:u w:val="single"/>
        </w:rPr>
        <w:t xml:space="preserve">Section </w:t>
      </w:r>
      <w:r>
        <w:rPr>
          <w:rFonts w:cs="Arial"/>
          <w:u w:val="single"/>
          <w:lang w:val="en-US"/>
        </w:rPr>
        <w:t>8.1</w:t>
      </w:r>
      <w:r>
        <w:rPr>
          <w:u w:val="single"/>
        </w:rPr>
        <w:t>(B)</w:t>
      </w:r>
      <w:r>
        <w:rPr>
          <w:rFonts w:cs="Arial"/>
        </w:rPr>
        <w:t>.</w:t>
      </w:r>
    </w:p>
    <w:p w:rsidR="0079779A" w:rsidRDefault="0079779A" w14:paraId="1D257EA5" w14:textId="77777777">
      <w:pPr>
        <w:ind w:firstLine="720"/>
        <w:rPr>
          <w:b/>
          <w:i/>
          <w:sz w:val="20"/>
          <w:szCs w:val="20"/>
        </w:rPr>
      </w:pPr>
    </w:p>
    <w:p w:rsidR="0079779A" w:rsidRDefault="003E5439" w14:paraId="42784A6C" w14:textId="77777777">
      <w:pPr>
        <w:spacing w:after="240"/>
        <w:jc w:val="center"/>
        <w:rPr>
          <w:rFonts w:cs="Arial"/>
        </w:rPr>
        <w:sectPr w:rsidR="0079779A">
          <w:footerReference w:type="even" r:id="rId26"/>
          <w:footerReference w:type="default" r:id="rId27"/>
          <w:footerReference w:type="first" r:id="rId28"/>
          <w:pgSz w:w="12240" w:h="15840"/>
          <w:pgMar w:top="1440" w:right="1440" w:bottom="1440" w:left="1620" w:header="720" w:footer="720" w:gutter="0"/>
          <w:pgNumType w:start="1" w:chapStyle="1"/>
          <w:cols w:space="720"/>
          <w:titlePg/>
          <w:docGrid w:linePitch="36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rsidR="0079779A" w:rsidRDefault="003E5439" w14:paraId="1BCBD9D8" w14:textId="77777777">
      <w:pPr>
        <w:spacing w:after="120"/>
        <w:jc w:val="center"/>
        <w:rPr>
          <w:rFonts w:cs="Arial"/>
          <w:b/>
        </w:rPr>
      </w:pPr>
      <w:r>
        <w:rPr>
          <w:rFonts w:cs="Arial"/>
          <w:b/>
        </w:rPr>
        <w:lastRenderedPageBreak/>
        <w:t>EXHIBIT B</w:t>
      </w:r>
    </w:p>
    <w:p w:rsidR="0079779A" w:rsidRDefault="003E5439" w14:paraId="7670E751" w14:textId="77777777">
      <w:pPr>
        <w:spacing w:after="120"/>
        <w:jc w:val="center"/>
        <w:rPr>
          <w:rFonts w:cs="Arial"/>
          <w:b/>
        </w:rPr>
      </w:pPr>
      <w:r>
        <w:rPr>
          <w:rFonts w:cs="Arial"/>
          <w:b/>
        </w:rPr>
        <w:t>CONSTRUCTION MILESTONES</w:t>
      </w:r>
    </w:p>
    <w:p w:rsidR="0079779A" w:rsidRDefault="003E5439" w14:paraId="646702F0" w14:textId="77777777">
      <w:pPr>
        <w:spacing w:after="120"/>
        <w:rPr>
          <w:rFonts w:cs="Arial"/>
          <w:b/>
        </w:rPr>
      </w:pPr>
      <w:r>
        <w:rPr>
          <w:rFonts w:cs="Arial"/>
          <w:b/>
        </w:rPr>
        <w:t>Construction</w:t>
      </w:r>
    </w:p>
    <w:p w:rsidR="0079779A" w:rsidRDefault="003E5439" w14:paraId="5EE89C69" w14:textId="77777777">
      <w:pPr>
        <w:spacing w:after="120"/>
        <w:rPr>
          <w:rFonts w:cs="Arial"/>
          <w:b/>
        </w:rPr>
      </w:pPr>
      <w:r>
        <w:rPr>
          <w:rFonts w:cs="Arial"/>
          <w:b/>
          <w:u w:val="single"/>
        </w:rPr>
        <w:t xml:space="preserve">   Milestone   </w:t>
      </w:r>
      <w:r>
        <w:rPr>
          <w:rFonts w:cs="Arial"/>
          <w:b/>
        </w:rPr>
        <w:tab/>
      </w:r>
      <w:r>
        <w:rPr>
          <w:rFonts w:cs="Arial"/>
          <w:b/>
          <w:u w:val="single"/>
        </w:rPr>
        <w:t xml:space="preserve">                                 Outcome                                        </w:t>
      </w:r>
      <w:r>
        <w:rPr>
          <w:rFonts w:cs="Arial"/>
          <w:b/>
        </w:rPr>
        <w:tab/>
      </w:r>
    </w:p>
    <w:p w:rsidR="0079779A" w:rsidRDefault="003E5439" w14:paraId="1CC53F37" w14:textId="77777777">
      <w:pPr>
        <w:spacing w:after="240"/>
        <w:ind w:left="2160" w:hanging="1800"/>
        <w:jc w:val="both"/>
        <w:rPr>
          <w:rFonts w:cs="Arial"/>
          <w:i/>
          <w:u w:val="single"/>
        </w:rPr>
      </w:pPr>
      <w:r>
        <w:rPr>
          <w:rFonts w:cs="Arial"/>
          <w:i/>
        </w:rPr>
        <w:t>[Date]</w:t>
      </w:r>
      <w:r>
        <w:rPr>
          <w:rFonts w:cs="Arial"/>
        </w:rPr>
        <w:tab/>
        <w:t>Seller and all required counterparties shall have executed such Construction Contracts as are needed to construct the Facility.</w:t>
      </w:r>
      <w:r>
        <w:rPr>
          <w:rFonts w:cs="Arial"/>
          <w:i/>
          <w:u w:val="single"/>
        </w:rPr>
        <w:fldChar w:fldCharType="begin"/>
      </w:r>
      <w:r>
        <w:rPr>
          <w:rFonts w:cs="Arial"/>
          <w:i/>
          <w:u w:val="single"/>
        </w:rPr>
        <w:instrText xml:space="preserve"> TC \l "1"</w:instrText>
      </w:r>
      <w:r>
        <w:rPr>
          <w:rFonts w:cs="Arial"/>
          <w:i/>
          <w:u w:val="single"/>
        </w:rPr>
        <w:fldChar w:fldCharType="end"/>
      </w:r>
    </w:p>
    <w:p w:rsidR="0079779A" w:rsidRDefault="003E5439" w14:paraId="5616D701" w14:textId="77777777">
      <w:pPr>
        <w:spacing w:after="240"/>
        <w:ind w:left="2160" w:hanging="1800"/>
        <w:jc w:val="both"/>
        <w:rPr>
          <w:rFonts w:cs="Arial"/>
          <w:i/>
          <w:u w:val="single"/>
        </w:rPr>
      </w:pPr>
      <w:r>
        <w:rPr>
          <w:rFonts w:cs="Arial"/>
          <w:i/>
        </w:rPr>
        <w:t>[Date]</w:t>
      </w:r>
      <w:r>
        <w:rPr>
          <w:rFonts w:cs="Arial"/>
        </w:rPr>
        <w:tab/>
        <w:t>Seller and the Transmission Authority shall have executed the Interconnection Agreement.</w:t>
      </w:r>
      <w:r>
        <w:rPr>
          <w:rFonts w:cs="Arial"/>
          <w:i/>
          <w:u w:val="single"/>
        </w:rPr>
        <w:fldChar w:fldCharType="begin"/>
      </w:r>
      <w:r>
        <w:rPr>
          <w:rFonts w:cs="Arial"/>
          <w:i/>
          <w:u w:val="single"/>
        </w:rPr>
        <w:instrText xml:space="preserve"> TC \l "1"</w:instrText>
      </w:r>
      <w:r>
        <w:rPr>
          <w:rFonts w:cs="Arial"/>
          <w:i/>
          <w:u w:val="single"/>
        </w:rPr>
        <w:fldChar w:fldCharType="end"/>
      </w:r>
    </w:p>
    <w:p w:rsidR="0079779A" w:rsidRDefault="003E5439" w14:paraId="454319C7" w14:textId="77777777">
      <w:pPr>
        <w:spacing w:after="240"/>
        <w:ind w:left="2160" w:hanging="1800"/>
        <w:jc w:val="both"/>
        <w:rPr>
          <w:rFonts w:cs="Arial"/>
        </w:rPr>
      </w:pPr>
      <w:r>
        <w:rPr>
          <w:rFonts w:cs="Arial"/>
          <w:i/>
        </w:rPr>
        <w:t>[Date]</w:t>
      </w:r>
      <w:r>
        <w:rPr>
          <w:rFonts w:cs="Arial"/>
          <w:i/>
          <w:u w:val="single"/>
        </w:rPr>
        <w:fldChar w:fldCharType="begin"/>
      </w:r>
      <w:r>
        <w:rPr>
          <w:rFonts w:cs="Arial"/>
          <w:i/>
          <w:u w:val="single"/>
        </w:rPr>
        <w:instrText xml:space="preserve"> TC \l "1"</w:instrText>
      </w:r>
      <w:r>
        <w:rPr>
          <w:rFonts w:cs="Arial"/>
          <w:i/>
          <w:u w:val="single"/>
        </w:rPr>
        <w:fldChar w:fldCharType="end"/>
      </w:r>
      <w:r>
        <w:rPr>
          <w:rFonts w:cs="Arial"/>
          <w:i/>
        </w:rPr>
        <w:t xml:space="preserve"> </w:t>
      </w:r>
      <w:r>
        <w:rPr>
          <w:rFonts w:cs="Arial"/>
        </w:rPr>
        <w:tab/>
        <w:t>Seller shall have achieved closing on financing for the Facility or provided Company with proof of financial capability to construct the Facility.</w:t>
      </w:r>
    </w:p>
    <w:p w:rsidR="0079779A" w:rsidRDefault="003E5439" w14:paraId="3A40CE05" w14:textId="77777777">
      <w:pPr>
        <w:spacing w:after="240"/>
        <w:ind w:left="2160" w:hanging="1800"/>
        <w:jc w:val="both"/>
        <w:rPr>
          <w:rFonts w:cs="Arial"/>
        </w:rPr>
      </w:pPr>
      <w:r>
        <w:rPr>
          <w:rFonts w:cs="Arial"/>
          <w:i/>
        </w:rPr>
        <w:t>[Date]</w:t>
      </w:r>
      <w:r>
        <w:rPr>
          <w:rFonts w:cs="Arial"/>
        </w:rPr>
        <w:tab/>
        <w:t xml:space="preserve">Commencement of construction of the Facility. </w:t>
      </w:r>
    </w:p>
    <w:p w:rsidR="0079779A" w:rsidRDefault="003E5439" w14:paraId="632C70C7" w14:textId="77777777">
      <w:pPr>
        <w:spacing w:after="240"/>
        <w:ind w:left="2160" w:hanging="1800"/>
        <w:jc w:val="both"/>
        <w:rPr>
          <w:rFonts w:cs="Arial"/>
        </w:rPr>
      </w:pPr>
      <w:r>
        <w:rPr>
          <w:rFonts w:cs="Arial"/>
          <w:i/>
        </w:rPr>
        <w:t>[Date]</w:t>
      </w:r>
      <w:r>
        <w:rPr>
          <w:rFonts w:cs="Arial"/>
        </w:rPr>
        <w:tab/>
        <w:t xml:space="preserve">Procurement of Battery Units. </w:t>
      </w:r>
    </w:p>
    <w:p w:rsidR="0079779A" w:rsidRDefault="003E5439" w14:paraId="3AEF6FC4" w14:textId="77777777">
      <w:pPr>
        <w:spacing w:after="240"/>
        <w:ind w:left="2160" w:hanging="1800"/>
        <w:jc w:val="both"/>
        <w:rPr>
          <w:rFonts w:cs="Arial"/>
        </w:rPr>
      </w:pPr>
      <w:r>
        <w:rPr>
          <w:rFonts w:cs="Arial"/>
          <w:i/>
        </w:rPr>
        <w:t>[Date]</w:t>
      </w:r>
      <w:r>
        <w:rPr>
          <w:rFonts w:cs="Arial"/>
        </w:rPr>
        <w:tab/>
        <w:t>Seller shall have laid the foundation for all Facility buildings, energy storage facilities and step-up transformation facilities.</w:t>
      </w:r>
    </w:p>
    <w:p w:rsidR="0079779A" w:rsidRDefault="003E5439" w14:paraId="0E9F7425" w14:textId="77777777">
      <w:pPr>
        <w:spacing w:after="240"/>
        <w:ind w:left="2160" w:hanging="1800"/>
        <w:jc w:val="both"/>
        <w:rPr>
          <w:rFonts w:cs="Arial"/>
          <w:i/>
          <w:u w:val="single"/>
        </w:rPr>
      </w:pPr>
      <w:r>
        <w:rPr>
          <w:rFonts w:cs="Arial"/>
          <w:i/>
        </w:rPr>
        <w:t>[Date]</w:t>
      </w:r>
      <w:r>
        <w:rPr>
          <w:rFonts w:cs="Arial"/>
        </w:rPr>
        <w:tab/>
        <w:t>The step-up transformer and Battery Units shall have been delivered and installed at the Site.</w:t>
      </w:r>
      <w:r>
        <w:rPr>
          <w:rFonts w:cs="Arial"/>
          <w:i/>
          <w:u w:val="single"/>
        </w:rPr>
        <w:fldChar w:fldCharType="begin"/>
      </w:r>
      <w:r>
        <w:rPr>
          <w:rFonts w:cs="Arial"/>
          <w:i/>
          <w:u w:val="single"/>
        </w:rPr>
        <w:instrText xml:space="preserve"> TC \l "1"</w:instrText>
      </w:r>
      <w:r>
        <w:rPr>
          <w:rFonts w:cs="Arial"/>
          <w:i/>
          <w:u w:val="single"/>
        </w:rPr>
        <w:fldChar w:fldCharType="end"/>
      </w:r>
    </w:p>
    <w:p w:rsidR="0079779A" w:rsidRDefault="003E5439" w14:paraId="16375CED" w14:textId="77777777">
      <w:pPr>
        <w:spacing w:after="240"/>
        <w:ind w:left="2160" w:hanging="1800"/>
        <w:jc w:val="both"/>
        <w:rPr>
          <w:rFonts w:cs="Arial"/>
          <w:i/>
          <w:u w:val="single"/>
        </w:rPr>
      </w:pPr>
      <w:r>
        <w:rPr>
          <w:rFonts w:cs="Arial"/>
          <w:i/>
        </w:rPr>
        <w:t>[Date]</w:t>
      </w:r>
      <w:r>
        <w:rPr>
          <w:rFonts w:cs="Arial"/>
        </w:rPr>
        <w:tab/>
        <w:t>Seller’s Interconnection Facilities shall have been constructed, and such facilities are capable of being energized.</w:t>
      </w:r>
      <w:r>
        <w:rPr>
          <w:rFonts w:cs="Arial"/>
          <w:i/>
          <w:u w:val="single"/>
        </w:rPr>
        <w:fldChar w:fldCharType="begin"/>
      </w:r>
      <w:r>
        <w:rPr>
          <w:rFonts w:cs="Arial"/>
          <w:i/>
          <w:u w:val="single"/>
        </w:rPr>
        <w:instrText xml:space="preserve"> TC \l "1"</w:instrText>
      </w:r>
      <w:r>
        <w:rPr>
          <w:rFonts w:cs="Arial"/>
          <w:i/>
          <w:u w:val="single"/>
        </w:rPr>
        <w:fldChar w:fldCharType="end"/>
      </w:r>
    </w:p>
    <w:p w:rsidR="0079779A" w:rsidRDefault="003E5439" w14:paraId="64F4AD63" w14:textId="77777777">
      <w:pPr>
        <w:spacing w:after="240"/>
        <w:ind w:left="2160" w:hanging="1800"/>
        <w:jc w:val="both"/>
        <w:rPr>
          <w:rFonts w:cs="Arial"/>
          <w:i/>
          <w:u w:val="single"/>
        </w:rPr>
      </w:pPr>
      <w:r>
        <w:rPr>
          <w:rFonts w:cs="Arial"/>
          <w:i/>
        </w:rPr>
        <w:t>[Date]</w:t>
      </w:r>
      <w:r>
        <w:rPr>
          <w:rFonts w:cs="Arial"/>
        </w:rPr>
        <w:tab/>
        <w:t>Start-up testing of the Facility commences.</w:t>
      </w:r>
      <w:r>
        <w:rPr>
          <w:rFonts w:cs="Arial"/>
          <w:i/>
          <w:u w:val="single"/>
        </w:rPr>
        <w:fldChar w:fldCharType="begin"/>
      </w:r>
      <w:r>
        <w:rPr>
          <w:rFonts w:cs="Arial"/>
          <w:i/>
          <w:u w:val="single"/>
        </w:rPr>
        <w:instrText xml:space="preserve"> TC \l "1"</w:instrText>
      </w:r>
      <w:r>
        <w:rPr>
          <w:rFonts w:cs="Arial"/>
          <w:i/>
          <w:u w:val="single"/>
        </w:rPr>
        <w:fldChar w:fldCharType="end"/>
      </w:r>
    </w:p>
    <w:p w:rsidR="0079779A" w:rsidRDefault="0079779A" w14:paraId="19AC9F23" w14:textId="77777777">
      <w:pPr>
        <w:spacing w:after="120"/>
        <w:ind w:left="2160" w:hanging="1800"/>
        <w:jc w:val="both"/>
        <w:rPr>
          <w:rFonts w:cs="Arial"/>
        </w:rPr>
        <w:sectPr w:rsidR="0079779A">
          <w:footerReference w:type="first" r:id="rId29"/>
          <w:pgSz w:w="12240" w:h="15840"/>
          <w:pgMar w:top="1440" w:right="1350" w:bottom="1440" w:left="1710" w:header="720" w:footer="720" w:gutter="0"/>
          <w:pgNumType w:start="1" w:chapStyle="1"/>
          <w:cols w:space="720"/>
          <w:titlePg/>
          <w:docGrid w:linePitch="360"/>
        </w:sectPr>
      </w:pPr>
    </w:p>
    <w:p w:rsidR="0079779A" w:rsidRDefault="003E5439" w14:paraId="0E61B1F9" w14:textId="77777777">
      <w:pPr>
        <w:pageBreakBefore/>
        <w:spacing w:after="120"/>
        <w:jc w:val="center"/>
        <w:outlineLvl w:val="0"/>
        <w:rPr>
          <w:rFonts w:cs="Arial"/>
          <w:b/>
        </w:rPr>
      </w:pPr>
      <w:bookmarkStart w:name="_Toc433954233" w:id="583"/>
      <w:r>
        <w:rPr>
          <w:rFonts w:cs="Arial"/>
          <w:b/>
        </w:rPr>
        <w:lastRenderedPageBreak/>
        <w:t>EXHIBIT C</w:t>
      </w:r>
      <w:bookmarkEnd w:id="583"/>
    </w:p>
    <w:p w:rsidR="0079779A" w:rsidRDefault="003E5439" w14:paraId="54F55008" w14:textId="77777777">
      <w:pPr>
        <w:spacing w:after="120"/>
        <w:jc w:val="center"/>
        <w:outlineLvl w:val="0"/>
        <w:rPr>
          <w:rFonts w:cs="Arial"/>
          <w:b/>
        </w:rPr>
      </w:pPr>
      <w:bookmarkStart w:name="_Toc433954234" w:id="584"/>
      <w:r>
        <w:rPr>
          <w:rFonts w:cs="Arial"/>
          <w:b/>
        </w:rPr>
        <w:t>FACILITY DESCRIPTION AND SITE MAPS</w:t>
      </w:r>
      <w:bookmarkEnd w:id="584"/>
      <w:r>
        <w:rPr>
          <w:rFonts w:cs="Arial"/>
          <w:b/>
        </w:rPr>
        <w:fldChar w:fldCharType="begin"/>
      </w:r>
      <w:r>
        <w:rPr>
          <w:rFonts w:cs="Arial"/>
        </w:rPr>
        <w:instrText xml:space="preserve"> TC \l "1"</w:instrText>
      </w:r>
      <w:r>
        <w:rPr>
          <w:rFonts w:cs="Arial"/>
          <w:b/>
        </w:rPr>
        <w:fldChar w:fldCharType="end"/>
      </w:r>
    </w:p>
    <w:p w:rsidR="0079779A" w:rsidRDefault="0079779A" w14:paraId="620C340C" w14:textId="77777777">
      <w:pPr>
        <w:spacing w:before="140"/>
        <w:jc w:val="center"/>
        <w:rPr>
          <w:rFonts w:cs="Arial"/>
          <w:b/>
        </w:rPr>
      </w:pPr>
    </w:p>
    <w:p w:rsidR="0079779A" w:rsidRDefault="003E5439" w14:paraId="093594D8" w14:textId="77777777">
      <w:pPr>
        <w:jc w:val="both"/>
        <w:rPr>
          <w:rFonts w:cs="Arial"/>
        </w:rPr>
      </w:pPr>
      <w:r>
        <w:rPr>
          <w:rFonts w:cs="Arial"/>
          <w:b/>
          <w:i/>
          <w:highlight w:val="yellow"/>
        </w:rPr>
        <w:t xml:space="preserve"> [This Exhibit shall include a description of the Facility and all material components thereof, including map, aerial pictures, one-line diagram, Point of Delivery and (if different) the Interconnection Point as well as the manufacturer and model numbers of the Battery Units.</w:t>
      </w:r>
      <w:r>
        <w:rPr>
          <w:rFonts w:cs="Arial"/>
        </w:rPr>
        <w:t xml:space="preserve">  </w:t>
      </w:r>
    </w:p>
    <w:p w:rsidR="0079779A" w:rsidRDefault="0079779A" w14:paraId="679BC5D5" w14:textId="77777777">
      <w:pPr>
        <w:jc w:val="both"/>
        <w:rPr>
          <w:rFonts w:cs="Arial"/>
        </w:rPr>
      </w:pPr>
    </w:p>
    <w:p w:rsidR="0079779A" w:rsidRDefault="003E5439" w14:paraId="5E017264" w14:textId="77777777">
      <w:pPr>
        <w:jc w:val="both"/>
        <w:rPr>
          <w:rFonts w:cs="Arial"/>
        </w:rPr>
      </w:pPr>
      <w:r>
        <w:rPr>
          <w:rFonts w:cs="Arial"/>
        </w:rPr>
        <w:t xml:space="preserve">The Facility shall be located on the Site and shall be identified as Seller’s </w:t>
      </w:r>
      <w:r>
        <w:rPr>
          <w:rFonts w:cs="Arial"/>
          <w:highlight w:val="yellow"/>
        </w:rPr>
        <w:t>[_________]</w:t>
      </w:r>
      <w:r>
        <w:rPr>
          <w:rFonts w:cs="Arial"/>
        </w:rPr>
        <w:t xml:space="preserve"> Energy Storage Facility.  Maps and one-line diagrams of the Facility and associated equipment are included as part of this Exhibit, as may be updated from time to time.</w:t>
      </w:r>
    </w:p>
    <w:p w:rsidR="0079779A" w:rsidRDefault="0079779A" w14:paraId="788E4363" w14:textId="77777777">
      <w:pPr>
        <w:jc w:val="both"/>
        <w:rPr>
          <w:rFonts w:cs="Arial"/>
        </w:rPr>
      </w:pPr>
    </w:p>
    <w:p w:rsidR="0079779A" w:rsidRDefault="003E5439" w14:paraId="04BC1DBC" w14:textId="77777777">
      <w:pPr>
        <w:jc w:val="both"/>
        <w:rPr>
          <w:rFonts w:cs="Arial"/>
        </w:rPr>
      </w:pPr>
      <w:r>
        <w:rPr>
          <w:rFonts w:cs="Arial"/>
        </w:rPr>
        <w:t xml:space="preserve">The address of the Facility is </w:t>
      </w:r>
      <w:r>
        <w:rPr>
          <w:rFonts w:cs="Arial"/>
          <w:highlight w:val="yellow"/>
        </w:rPr>
        <w:t>[_________________________]</w:t>
      </w:r>
      <w:r>
        <w:rPr>
          <w:rFonts w:cs="Arial"/>
        </w:rPr>
        <w:t xml:space="preserve">.  </w:t>
      </w:r>
    </w:p>
    <w:p w:rsidR="0079779A" w:rsidRDefault="0079779A" w14:paraId="3FCD7702" w14:textId="77777777">
      <w:pPr>
        <w:jc w:val="both"/>
        <w:rPr>
          <w:rFonts w:cs="Arial"/>
        </w:rPr>
      </w:pPr>
    </w:p>
    <w:p w:rsidR="0079779A" w:rsidRDefault="003E5439" w14:paraId="485B6D08" w14:textId="77777777">
      <w:pPr>
        <w:jc w:val="both"/>
        <w:rPr>
          <w:rFonts w:cs="Arial"/>
        </w:rPr>
      </w:pPr>
      <w:r>
        <w:rPr>
          <w:rFonts w:cs="Arial"/>
        </w:rPr>
        <w:t>The Facility and the Battery Storage System must include the following specific components:</w:t>
      </w:r>
    </w:p>
    <w:p w:rsidR="0079779A" w:rsidRDefault="0079779A" w14:paraId="7672958F" w14:textId="77777777">
      <w:pPr>
        <w:jc w:val="both"/>
        <w:rPr>
          <w:rFonts w:cs="Arial"/>
        </w:rPr>
      </w:pPr>
    </w:p>
    <w:p w:rsidR="0079779A" w:rsidRDefault="003E5439" w14:paraId="24E07DFF" w14:textId="77777777">
      <w:pPr>
        <w:ind w:left="180" w:hanging="180"/>
        <w:jc w:val="both"/>
        <w:rPr>
          <w:rFonts w:cs="Arial"/>
        </w:rPr>
      </w:pPr>
      <w:r>
        <w:rPr>
          <w:rFonts w:cs="Arial"/>
        </w:rPr>
        <w:t xml:space="preserve">* </w:t>
      </w:r>
      <w:proofErr w:type="gramStart"/>
      <w:r>
        <w:rPr>
          <w:rFonts w:cs="Arial"/>
        </w:rPr>
        <w:t>major</w:t>
      </w:r>
      <w:proofErr w:type="gramEnd"/>
      <w:r>
        <w:rPr>
          <w:rFonts w:cs="Arial"/>
        </w:rPr>
        <w:t xml:space="preserve"> equipment including batteries and inverters;</w:t>
      </w:r>
    </w:p>
    <w:p w:rsidR="0079779A" w:rsidRDefault="0079779A" w14:paraId="534E5A9B" w14:textId="77777777">
      <w:pPr>
        <w:ind w:left="180" w:hanging="180"/>
        <w:jc w:val="both"/>
        <w:rPr>
          <w:rFonts w:cs="Arial"/>
        </w:rPr>
      </w:pPr>
    </w:p>
    <w:p w:rsidR="0079779A" w:rsidRDefault="003E5439" w14:paraId="7FF6C445" w14:textId="77777777">
      <w:pPr>
        <w:ind w:left="180" w:hanging="180"/>
        <w:jc w:val="both"/>
        <w:rPr>
          <w:rFonts w:cs="Arial"/>
        </w:rPr>
      </w:pPr>
      <w:r>
        <w:rPr>
          <w:rFonts w:cs="Arial"/>
        </w:rPr>
        <w:t xml:space="preserve">* </w:t>
      </w:r>
      <w:proofErr w:type="gramStart"/>
      <w:r>
        <w:rPr>
          <w:rFonts w:cs="Arial"/>
        </w:rPr>
        <w:t>communication</w:t>
      </w:r>
      <w:proofErr w:type="gramEnd"/>
      <w:r>
        <w:rPr>
          <w:rFonts w:cs="Arial"/>
        </w:rPr>
        <w:t xml:space="preserve"> circuits from the Facility to the EMCC for the purpose of telemetering, supervisory control/data acquisition, and voice communications as required by Company;</w:t>
      </w:r>
    </w:p>
    <w:p w:rsidR="0079779A" w:rsidRDefault="0079779A" w14:paraId="38D494B6" w14:textId="77777777">
      <w:pPr>
        <w:ind w:left="180" w:hanging="180"/>
        <w:rPr>
          <w:rFonts w:cs="Arial"/>
        </w:rPr>
      </w:pPr>
    </w:p>
    <w:p w:rsidR="0079779A" w:rsidRDefault="003E5439" w14:paraId="4E59D784" w14:textId="77777777">
      <w:pPr>
        <w:ind w:left="180" w:hanging="180"/>
        <w:jc w:val="both"/>
        <w:rPr>
          <w:rFonts w:cs="Arial"/>
        </w:rPr>
      </w:pPr>
      <w:r>
        <w:rPr>
          <w:rFonts w:cs="Arial"/>
        </w:rPr>
        <w:t xml:space="preserve">* </w:t>
      </w:r>
      <w:proofErr w:type="gramStart"/>
      <w:r>
        <w:rPr>
          <w:rFonts w:cs="Arial"/>
        </w:rPr>
        <w:t>equipment</w:t>
      </w:r>
      <w:proofErr w:type="gramEnd"/>
      <w:r>
        <w:rPr>
          <w:rFonts w:cs="Arial"/>
        </w:rPr>
        <w:t xml:space="preserve"> and software necessary to receive, accept and react to an AGC signal from the Company’s SCADA System and to comply with the AGC Protocols as further specified on </w:t>
      </w:r>
      <w:r>
        <w:rPr>
          <w:u w:val="single"/>
        </w:rPr>
        <w:t>Exhibit I - AGC Protocols; Dispatch and Availability Notices; Data Collection; Technical Specifications</w:t>
      </w:r>
      <w:r>
        <w:rPr>
          <w:rFonts w:cs="Arial"/>
        </w:rPr>
        <w:t>;</w:t>
      </w:r>
    </w:p>
    <w:p w:rsidR="0079779A" w:rsidRDefault="0079779A" w14:paraId="67ADD524" w14:textId="77777777">
      <w:pPr>
        <w:ind w:left="180" w:hanging="180"/>
        <w:jc w:val="both"/>
        <w:rPr>
          <w:rFonts w:cs="Arial"/>
        </w:rPr>
      </w:pPr>
    </w:p>
    <w:p w:rsidR="0079779A" w:rsidRDefault="003E5439" w14:paraId="12D6BF64" w14:textId="77777777">
      <w:pPr>
        <w:ind w:left="180" w:hanging="180"/>
        <w:jc w:val="both"/>
        <w:rPr>
          <w:rFonts w:cs="Arial"/>
        </w:rPr>
      </w:pPr>
      <w:r>
        <w:rPr>
          <w:rFonts w:cs="Arial"/>
        </w:rPr>
        <w:t>*</w:t>
      </w:r>
      <w:r>
        <w:rPr>
          <w:rFonts w:cs="Arial"/>
        </w:rPr>
        <w:tab/>
      </w:r>
      <w:proofErr w:type="gramStart"/>
      <w:r>
        <w:rPr>
          <w:rFonts w:cs="Arial"/>
        </w:rPr>
        <w:t>ramping</w:t>
      </w:r>
      <w:proofErr w:type="gramEnd"/>
      <w:r>
        <w:rPr>
          <w:rFonts w:cs="Arial"/>
        </w:rPr>
        <w:t xml:space="preserve"> capability, voltage control (on and off peak) and frequency control.  pursuant to NERC guidelines/requirements.</w:t>
      </w:r>
    </w:p>
    <w:p w:rsidR="0079779A" w:rsidRDefault="0079779A" w14:paraId="537915BA" w14:textId="77777777">
      <w:pPr>
        <w:ind w:left="180" w:hanging="180"/>
        <w:jc w:val="both"/>
        <w:rPr>
          <w:rFonts w:cs="Arial"/>
        </w:rPr>
      </w:pPr>
    </w:p>
    <w:p w:rsidR="0079779A" w:rsidRDefault="003E5439" w14:paraId="67435576" w14:textId="77777777">
      <w:pPr>
        <w:ind w:left="180" w:hanging="180"/>
        <w:jc w:val="both"/>
        <w:rPr>
          <w:rFonts w:cs="Arial"/>
        </w:rPr>
      </w:pPr>
      <w:r>
        <w:rPr>
          <w:rFonts w:cs="Arial"/>
        </w:rPr>
        <w:t>*</w:t>
      </w:r>
      <w:r>
        <w:rPr>
          <w:rFonts w:cs="Arial"/>
        </w:rPr>
        <w:tab/>
        <w:t xml:space="preserve"> </w:t>
      </w:r>
      <w:proofErr w:type="gramStart"/>
      <w:r>
        <w:rPr>
          <w:rFonts w:cs="Arial"/>
        </w:rPr>
        <w:t>capability</w:t>
      </w:r>
      <w:proofErr w:type="gramEnd"/>
      <w:r>
        <w:rPr>
          <w:rFonts w:cs="Arial"/>
        </w:rPr>
        <w:t xml:space="preserve"> of sending real time data and OPC interface to Company’s PI System; </w:t>
      </w:r>
    </w:p>
    <w:p w:rsidR="0079779A" w:rsidRDefault="0079779A" w14:paraId="1D32885B" w14:textId="77777777">
      <w:pPr>
        <w:outlineLvl w:val="0"/>
        <w:rPr>
          <w:rFonts w:cs="Arial"/>
        </w:rPr>
      </w:pPr>
    </w:p>
    <w:p w:rsidR="0079779A" w:rsidRDefault="003E5439" w14:paraId="36A5C188" w14:textId="77777777">
      <w:pPr>
        <w:outlineLvl w:val="0"/>
        <w:rPr>
          <w:rFonts w:cs="Arial"/>
        </w:rPr>
      </w:pPr>
      <w:r>
        <w:rPr>
          <w:rFonts w:cs="Arial"/>
        </w:rPr>
        <w:t>* a Point of Delivery located at [</w:t>
      </w:r>
      <w:r>
        <w:rPr>
          <w:rFonts w:cs="Arial"/>
          <w:highlight w:val="yellow"/>
        </w:rPr>
        <w:t>___</w:t>
      </w:r>
      <w:proofErr w:type="gramStart"/>
      <w:r>
        <w:rPr>
          <w:rFonts w:cs="Arial"/>
        </w:rPr>
        <w:t>];</w:t>
      </w:r>
      <w:proofErr w:type="gramEnd"/>
    </w:p>
    <w:p w:rsidR="0079779A" w:rsidRDefault="0079779A" w14:paraId="0FFE5A46" w14:textId="77777777">
      <w:pPr>
        <w:outlineLvl w:val="0"/>
        <w:rPr>
          <w:rFonts w:cs="Arial"/>
        </w:rPr>
      </w:pPr>
    </w:p>
    <w:p w:rsidR="0079779A" w:rsidRDefault="003E5439" w14:paraId="2BD9D711" w14:textId="77777777">
      <w:pPr>
        <w:rPr>
          <w:rFonts w:cs="Arial"/>
          <w:noProof/>
        </w:rPr>
      </w:pPr>
      <w:r>
        <w:rPr>
          <w:rFonts w:cs="Arial"/>
          <w:noProof/>
        </w:rPr>
        <w:t>The proposed Facility includes the components that are equivalent to, or better than, the following:</w:t>
      </w:r>
    </w:p>
    <w:p w:rsidR="0079779A" w:rsidRDefault="0079779A" w14:paraId="5F1C8463" w14:textId="77777777">
      <w:pPr>
        <w:rPr>
          <w:rFonts w:cs="Arial"/>
          <w:noProof/>
        </w:rPr>
      </w:pPr>
    </w:p>
    <w:p w:rsidR="0079779A" w:rsidRDefault="003E5439" w14:paraId="640FA24E" w14:textId="77777777">
      <w:pPr>
        <w:pStyle w:val="ListParagraph"/>
        <w:numPr>
          <w:ilvl w:val="0"/>
          <w:numId w:val="56"/>
        </w:numPr>
        <w:rPr>
          <w:rFonts w:cs="Arial"/>
          <w:highlight w:val="yellow"/>
        </w:rPr>
      </w:pPr>
      <w:r>
        <w:rPr>
          <w:rFonts w:cs="Arial"/>
          <w:highlight w:val="yellow"/>
        </w:rPr>
        <w:t xml:space="preserve">[Additional Bid Specific information to be added] </w:t>
      </w:r>
    </w:p>
    <w:p w:rsidR="0079779A" w:rsidRDefault="0079779A" w14:paraId="46D26A18" w14:textId="77777777">
      <w:pPr>
        <w:outlineLvl w:val="0"/>
        <w:rPr>
          <w:rFonts w:cs="Arial"/>
        </w:rPr>
      </w:pPr>
    </w:p>
    <w:p w:rsidR="0079779A" w:rsidRDefault="0079779A" w14:paraId="113CF9CE" w14:textId="77777777">
      <w:pPr>
        <w:jc w:val="center"/>
        <w:rPr>
          <w:rFonts w:cs="Arial"/>
        </w:rPr>
        <w:sectPr w:rsidR="0079779A">
          <w:footerReference w:type="default" r:id="rId30"/>
          <w:footerReference w:type="first" r:id="rId31"/>
          <w:pgSz w:w="12240" w:h="15840"/>
          <w:pgMar w:top="1440" w:right="1350" w:bottom="1440" w:left="1710" w:header="720" w:footer="720" w:gutter="0"/>
          <w:pgNumType w:start="1" w:chapStyle="1"/>
          <w:cols w:space="720"/>
          <w:titlePg/>
          <w:docGrid w:linePitch="360"/>
        </w:sectPr>
      </w:pPr>
    </w:p>
    <w:p w:rsidR="0079779A" w:rsidRDefault="003E5439" w14:paraId="6B481A91" w14:textId="77777777">
      <w:pPr>
        <w:spacing w:after="120"/>
        <w:jc w:val="center"/>
        <w:outlineLvl w:val="0"/>
        <w:rPr>
          <w:rFonts w:cs="Arial"/>
          <w:b/>
        </w:rPr>
      </w:pPr>
      <w:bookmarkStart w:name="_Toc433954235" w:id="585"/>
      <w:r>
        <w:rPr>
          <w:rFonts w:cs="Arial"/>
          <w:b/>
        </w:rPr>
        <w:lastRenderedPageBreak/>
        <w:t>EXHIBIT D</w:t>
      </w:r>
      <w:bookmarkEnd w:id="585"/>
    </w:p>
    <w:p w:rsidR="0079779A" w:rsidRDefault="003E5439" w14:paraId="4830187F" w14:textId="77777777">
      <w:pPr>
        <w:spacing w:after="120"/>
        <w:jc w:val="center"/>
        <w:outlineLvl w:val="0"/>
        <w:rPr>
          <w:rFonts w:cs="Arial"/>
          <w:b/>
        </w:rPr>
      </w:pPr>
      <w:bookmarkStart w:name="_Toc433954236" w:id="586"/>
      <w:r>
        <w:rPr>
          <w:rFonts w:cs="Arial"/>
          <w:b/>
        </w:rPr>
        <w:t xml:space="preserve">NOTICES </w:t>
      </w:r>
      <w:bookmarkEnd w:id="586"/>
    </w:p>
    <w:p w:rsidR="0079779A" w:rsidRDefault="0079779A" w14:paraId="7828A8A9" w14:textId="77777777">
      <w:pPr>
        <w:spacing w:after="120"/>
        <w:jc w:val="center"/>
        <w:outlineLvl w:val="0"/>
        <w:rPr>
          <w:rFonts w:cs="Arial"/>
          <w:b/>
        </w:rPr>
      </w:pPr>
    </w:p>
    <w:p w:rsidR="0079779A" w:rsidRDefault="003E5439" w14:paraId="4ADB4425" w14:textId="77777777">
      <w:pPr>
        <w:spacing w:after="120"/>
        <w:ind w:left="5400" w:hanging="4770"/>
        <w:outlineLvl w:val="0"/>
        <w:rPr>
          <w:rFonts w:cs="Arial"/>
          <w:b/>
        </w:rPr>
      </w:pPr>
      <w:r>
        <w:rPr>
          <w:rFonts w:cs="Arial"/>
          <w:b/>
        </w:rPr>
        <w:t xml:space="preserve">       </w:t>
      </w:r>
      <w:r>
        <w:rPr>
          <w:rFonts w:cs="Arial"/>
          <w:b/>
          <w:u w:val="single"/>
        </w:rPr>
        <w:t>Company</w:t>
      </w:r>
      <w:r>
        <w:rPr>
          <w:rFonts w:cs="Arial"/>
          <w:b/>
        </w:rPr>
        <w:tab/>
        <w:t xml:space="preserve">     </w:t>
      </w:r>
      <w:r>
        <w:rPr>
          <w:rFonts w:cs="Arial"/>
          <w:b/>
          <w:u w:val="single"/>
        </w:rPr>
        <w:t>Seller</w:t>
      </w:r>
      <w:r>
        <w:rPr>
          <w:rFonts w:cs="Arial"/>
          <w:b/>
        </w:rPr>
        <w:fldChar w:fldCharType="begin"/>
      </w:r>
      <w:r>
        <w:rPr>
          <w:rFonts w:cs="Arial"/>
        </w:rPr>
        <w:instrText xml:space="preserve"> TC \l "1"</w:instrText>
      </w:r>
      <w:r>
        <w:rPr>
          <w:rFonts w:cs="Arial"/>
          <w:b/>
        </w:rPr>
        <w:fldChar w:fldCharType="end"/>
      </w:r>
    </w:p>
    <w:tbl>
      <w:tblPr>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4428"/>
        <w:gridCol w:w="4590"/>
      </w:tblGrid>
      <w:tr w:rsidR="0079779A" w14:paraId="3270CEE6" w14:textId="77777777">
        <w:trPr>
          <w:jc w:val="center"/>
        </w:trPr>
        <w:tc>
          <w:tcPr>
            <w:tcW w:w="4428" w:type="dxa"/>
          </w:tcPr>
          <w:p w:rsidR="0079779A" w:rsidRDefault="003E5439" w14:paraId="58D216E2" w14:textId="77777777">
            <w:pPr>
              <w:spacing w:before="60" w:after="60"/>
              <w:rPr>
                <w:b/>
                <w:sz w:val="22"/>
                <w:szCs w:val="22"/>
              </w:rPr>
            </w:pPr>
            <w:r>
              <w:rPr>
                <w:b/>
                <w:sz w:val="22"/>
                <w:szCs w:val="22"/>
              </w:rPr>
              <w:t>Notices:</w:t>
            </w:r>
          </w:p>
          <w:p w:rsidR="0079779A" w:rsidRDefault="003E5439" w14:paraId="0EC4B4F8" w14:textId="77777777">
            <w:pPr>
              <w:ind w:left="173"/>
              <w:rPr>
                <w:sz w:val="22"/>
                <w:szCs w:val="22"/>
              </w:rPr>
            </w:pPr>
            <w:r>
              <w:rPr>
                <w:sz w:val="22"/>
                <w:szCs w:val="22"/>
                <w:highlight w:val="yellow"/>
              </w:rPr>
              <w:t>______________________</w:t>
            </w:r>
            <w:r>
              <w:rPr>
                <w:sz w:val="22"/>
                <w:szCs w:val="22"/>
              </w:rPr>
              <w:t xml:space="preserve"> </w:t>
            </w:r>
          </w:p>
          <w:p w:rsidR="0079779A" w:rsidRDefault="003E5439" w14:paraId="2B5F51E8" w14:textId="77777777">
            <w:pPr>
              <w:ind w:left="171"/>
              <w:rPr>
                <w:sz w:val="22"/>
                <w:szCs w:val="22"/>
              </w:rPr>
            </w:pPr>
            <w:r>
              <w:rPr>
                <w:sz w:val="22"/>
                <w:szCs w:val="22"/>
              </w:rPr>
              <w:t>Purchased Power Manager</w:t>
            </w:r>
          </w:p>
          <w:p w:rsidR="0079779A" w:rsidRDefault="003E5439" w14:paraId="02D5F386" w14:textId="77777777">
            <w:pPr>
              <w:ind w:left="171"/>
              <w:rPr>
                <w:sz w:val="22"/>
                <w:szCs w:val="22"/>
              </w:rPr>
            </w:pPr>
            <w:r>
              <w:rPr>
                <w:sz w:val="22"/>
                <w:szCs w:val="22"/>
              </w:rPr>
              <w:t>Xcel Energy Services Inc.</w:t>
            </w:r>
          </w:p>
          <w:p w:rsidR="0079779A" w:rsidRDefault="003E5439" w14:paraId="64EBFEAB" w14:textId="77777777">
            <w:pPr>
              <w:ind w:left="171"/>
              <w:rPr>
                <w:sz w:val="22"/>
                <w:szCs w:val="22"/>
              </w:rPr>
            </w:pPr>
            <w:r>
              <w:rPr>
                <w:sz w:val="22"/>
                <w:szCs w:val="22"/>
              </w:rPr>
              <w:t xml:space="preserve">1800 Larimer Street, Suite 1000 </w:t>
            </w:r>
          </w:p>
          <w:p w:rsidR="0079779A" w:rsidRDefault="003E5439" w14:paraId="4C95DFA8" w14:textId="77777777">
            <w:pPr>
              <w:ind w:left="171"/>
              <w:rPr>
                <w:sz w:val="22"/>
                <w:szCs w:val="22"/>
              </w:rPr>
            </w:pPr>
            <w:r>
              <w:rPr>
                <w:sz w:val="22"/>
                <w:szCs w:val="22"/>
              </w:rPr>
              <w:t>Denver, CO  80202</w:t>
            </w:r>
          </w:p>
          <w:p w:rsidR="0079779A" w:rsidRDefault="003E5439" w14:paraId="2CB21257" w14:textId="77777777">
            <w:pPr>
              <w:ind w:left="261"/>
              <w:rPr>
                <w:sz w:val="22"/>
                <w:szCs w:val="22"/>
              </w:rPr>
            </w:pPr>
            <w:r>
              <w:rPr>
                <w:sz w:val="22"/>
                <w:szCs w:val="22"/>
              </w:rPr>
              <w:t xml:space="preserve">Phone: </w:t>
            </w:r>
            <w:r>
              <w:rPr>
                <w:sz w:val="22"/>
                <w:szCs w:val="22"/>
                <w:highlight w:val="yellow"/>
              </w:rPr>
              <w:t>_________</w:t>
            </w:r>
          </w:p>
          <w:p w:rsidR="0079779A" w:rsidRDefault="003E5439" w14:paraId="46765312" w14:textId="77777777">
            <w:pPr>
              <w:ind w:left="261"/>
              <w:rPr>
                <w:sz w:val="22"/>
                <w:szCs w:val="22"/>
              </w:rPr>
            </w:pPr>
            <w:r>
              <w:rPr>
                <w:sz w:val="22"/>
                <w:szCs w:val="22"/>
              </w:rPr>
              <w:t xml:space="preserve">E-mail: </w:t>
            </w:r>
            <w:r>
              <w:rPr>
                <w:sz w:val="22"/>
                <w:szCs w:val="22"/>
                <w:highlight w:val="yellow"/>
              </w:rPr>
              <w:t>_________</w:t>
            </w:r>
            <w:r>
              <w:rPr>
                <w:sz w:val="22"/>
                <w:szCs w:val="22"/>
              </w:rPr>
              <w:t>@xcelenergy.com</w:t>
            </w:r>
          </w:p>
          <w:p w:rsidR="0079779A" w:rsidRDefault="0079779A" w14:paraId="445DAD9C" w14:textId="77777777">
            <w:pPr>
              <w:ind w:left="180"/>
              <w:rPr>
                <w:sz w:val="22"/>
                <w:szCs w:val="22"/>
              </w:rPr>
            </w:pPr>
          </w:p>
          <w:p w:rsidR="0079779A" w:rsidRDefault="003E5439" w14:paraId="58DA0BDE" w14:textId="77777777">
            <w:pPr>
              <w:spacing w:before="120"/>
              <w:rPr>
                <w:i/>
                <w:sz w:val="22"/>
                <w:szCs w:val="22"/>
              </w:rPr>
            </w:pPr>
            <w:r>
              <w:rPr>
                <w:i/>
                <w:sz w:val="22"/>
                <w:szCs w:val="22"/>
              </w:rPr>
              <w:t>with a cc to:</w:t>
            </w:r>
          </w:p>
          <w:p w:rsidR="0079779A" w:rsidRDefault="003E5439" w14:paraId="40062774" w14:textId="77777777">
            <w:pPr>
              <w:ind w:left="171"/>
              <w:rPr>
                <w:sz w:val="22"/>
                <w:szCs w:val="22"/>
              </w:rPr>
            </w:pPr>
            <w:r>
              <w:rPr>
                <w:sz w:val="22"/>
                <w:szCs w:val="22"/>
                <w:highlight w:val="yellow"/>
              </w:rPr>
              <w:t>________________</w:t>
            </w:r>
            <w:r>
              <w:rPr>
                <w:sz w:val="22"/>
                <w:szCs w:val="22"/>
              </w:rPr>
              <w:t xml:space="preserve"> </w:t>
            </w:r>
          </w:p>
          <w:p w:rsidR="0079779A" w:rsidRDefault="003E5439" w14:paraId="472464E2" w14:textId="77777777">
            <w:pPr>
              <w:ind w:left="171"/>
              <w:rPr>
                <w:sz w:val="22"/>
                <w:szCs w:val="22"/>
              </w:rPr>
            </w:pPr>
            <w:r>
              <w:rPr>
                <w:sz w:val="22"/>
                <w:szCs w:val="22"/>
              </w:rPr>
              <w:t>Purchased Power Analyst</w:t>
            </w:r>
          </w:p>
          <w:p w:rsidR="0079779A" w:rsidRDefault="003E5439" w14:paraId="5A3F007A" w14:textId="77777777">
            <w:pPr>
              <w:ind w:left="171"/>
              <w:rPr>
                <w:sz w:val="22"/>
                <w:szCs w:val="22"/>
              </w:rPr>
            </w:pPr>
            <w:r>
              <w:rPr>
                <w:sz w:val="22"/>
                <w:szCs w:val="22"/>
              </w:rPr>
              <w:t>Xcel Energy Services Inc.</w:t>
            </w:r>
          </w:p>
          <w:p w:rsidR="0079779A" w:rsidRDefault="003E5439" w14:paraId="3E022203" w14:textId="77777777">
            <w:pPr>
              <w:ind w:left="171"/>
              <w:rPr>
                <w:sz w:val="22"/>
                <w:szCs w:val="22"/>
              </w:rPr>
            </w:pPr>
            <w:r>
              <w:rPr>
                <w:sz w:val="22"/>
                <w:szCs w:val="22"/>
              </w:rPr>
              <w:t>1800 Larimer Street, Suite 1000</w:t>
            </w:r>
          </w:p>
          <w:p w:rsidR="0079779A" w:rsidRDefault="003E5439" w14:paraId="72DF90D2" w14:textId="77777777">
            <w:pPr>
              <w:ind w:left="171"/>
              <w:rPr>
                <w:sz w:val="22"/>
                <w:szCs w:val="22"/>
              </w:rPr>
            </w:pPr>
            <w:r>
              <w:rPr>
                <w:sz w:val="22"/>
                <w:szCs w:val="22"/>
              </w:rPr>
              <w:t>Denver, CO  80202</w:t>
            </w:r>
          </w:p>
          <w:p w:rsidR="0079779A" w:rsidRDefault="003E5439" w14:paraId="05C3D04A" w14:textId="77777777">
            <w:pPr>
              <w:ind w:left="261"/>
              <w:rPr>
                <w:sz w:val="22"/>
                <w:szCs w:val="22"/>
              </w:rPr>
            </w:pPr>
            <w:r>
              <w:rPr>
                <w:sz w:val="22"/>
                <w:szCs w:val="22"/>
              </w:rPr>
              <w:t xml:space="preserve">Phone: </w:t>
            </w:r>
            <w:r>
              <w:rPr>
                <w:sz w:val="22"/>
                <w:szCs w:val="22"/>
                <w:highlight w:val="yellow"/>
              </w:rPr>
              <w:t>_________</w:t>
            </w:r>
          </w:p>
          <w:p w:rsidR="0079779A" w:rsidRDefault="003E5439" w14:paraId="441A4E12" w14:textId="77777777">
            <w:pPr>
              <w:ind w:left="261"/>
              <w:rPr>
                <w:sz w:val="22"/>
                <w:szCs w:val="22"/>
              </w:rPr>
            </w:pPr>
            <w:r>
              <w:rPr>
                <w:sz w:val="22"/>
                <w:szCs w:val="22"/>
              </w:rPr>
              <w:t xml:space="preserve">E-mail: </w:t>
            </w:r>
            <w:r>
              <w:rPr>
                <w:sz w:val="22"/>
                <w:szCs w:val="22"/>
                <w:highlight w:val="yellow"/>
              </w:rPr>
              <w:t>_________</w:t>
            </w:r>
            <w:r>
              <w:rPr>
                <w:sz w:val="22"/>
                <w:szCs w:val="22"/>
              </w:rPr>
              <w:t>@xcelenergy.com</w:t>
            </w:r>
          </w:p>
          <w:p w:rsidR="0079779A" w:rsidRDefault="0079779A" w14:paraId="4031E24E" w14:textId="77777777">
            <w:pPr>
              <w:rPr>
                <w:sz w:val="22"/>
                <w:szCs w:val="22"/>
              </w:rPr>
            </w:pPr>
          </w:p>
        </w:tc>
        <w:tc>
          <w:tcPr>
            <w:tcW w:w="4590" w:type="dxa"/>
          </w:tcPr>
          <w:p w:rsidR="0079779A" w:rsidRDefault="003E5439" w14:paraId="54C3950A" w14:textId="77777777">
            <w:pPr>
              <w:spacing w:before="60" w:after="60"/>
              <w:rPr>
                <w:b/>
                <w:sz w:val="22"/>
                <w:szCs w:val="22"/>
              </w:rPr>
            </w:pPr>
            <w:r>
              <w:rPr>
                <w:b/>
                <w:sz w:val="22"/>
                <w:szCs w:val="22"/>
              </w:rPr>
              <w:t>Notices:</w:t>
            </w:r>
          </w:p>
          <w:p w:rsidR="0079779A" w:rsidRDefault="003E5439" w14:paraId="6E397E24" w14:textId="77777777">
            <w:pPr>
              <w:ind w:left="158"/>
              <w:rPr>
                <w:sz w:val="22"/>
                <w:szCs w:val="22"/>
                <w:highlight w:val="yellow"/>
              </w:rPr>
            </w:pPr>
            <w:r>
              <w:rPr>
                <w:sz w:val="22"/>
                <w:szCs w:val="22"/>
                <w:highlight w:val="yellow"/>
              </w:rPr>
              <w:t xml:space="preserve">_________________________ </w:t>
            </w:r>
          </w:p>
          <w:p w:rsidR="0079779A" w:rsidRDefault="003E5439" w14:paraId="2EA91F4B" w14:textId="77777777">
            <w:pPr>
              <w:ind w:left="158"/>
              <w:rPr>
                <w:sz w:val="22"/>
                <w:szCs w:val="22"/>
                <w:highlight w:val="yellow"/>
              </w:rPr>
            </w:pPr>
            <w:r>
              <w:rPr>
                <w:sz w:val="22"/>
                <w:szCs w:val="22"/>
                <w:highlight w:val="yellow"/>
              </w:rPr>
              <w:t xml:space="preserve">_________________________ </w:t>
            </w:r>
          </w:p>
          <w:p w:rsidR="0079779A" w:rsidRDefault="003E5439" w14:paraId="29224F99" w14:textId="77777777">
            <w:pPr>
              <w:ind w:left="158"/>
              <w:rPr>
                <w:sz w:val="22"/>
                <w:szCs w:val="22"/>
                <w:highlight w:val="yellow"/>
              </w:rPr>
            </w:pPr>
            <w:r>
              <w:rPr>
                <w:sz w:val="22"/>
                <w:szCs w:val="22"/>
                <w:highlight w:val="yellow"/>
              </w:rPr>
              <w:t xml:space="preserve">_________________________ </w:t>
            </w:r>
          </w:p>
          <w:p w:rsidR="0079779A" w:rsidRDefault="003E5439" w14:paraId="245461C6" w14:textId="77777777">
            <w:pPr>
              <w:ind w:left="261"/>
              <w:rPr>
                <w:sz w:val="22"/>
                <w:szCs w:val="22"/>
              </w:rPr>
            </w:pPr>
            <w:r>
              <w:rPr>
                <w:sz w:val="22"/>
                <w:szCs w:val="22"/>
              </w:rPr>
              <w:t xml:space="preserve">Phone: </w:t>
            </w:r>
            <w:r>
              <w:rPr>
                <w:sz w:val="22"/>
                <w:szCs w:val="22"/>
                <w:highlight w:val="yellow"/>
              </w:rPr>
              <w:t>_________</w:t>
            </w:r>
          </w:p>
          <w:p w:rsidR="0079779A" w:rsidRDefault="003E5439" w14:paraId="54379D74" w14:textId="77777777">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rsidR="0079779A" w:rsidRDefault="0079779A" w14:paraId="74A051A4" w14:textId="77777777">
            <w:pPr>
              <w:ind w:left="180"/>
              <w:rPr>
                <w:sz w:val="22"/>
                <w:szCs w:val="22"/>
              </w:rPr>
            </w:pPr>
          </w:p>
          <w:p w:rsidR="0079779A" w:rsidRDefault="0079779A" w14:paraId="4568ED00" w14:textId="77777777">
            <w:pPr>
              <w:spacing w:before="60"/>
              <w:ind w:left="153"/>
              <w:rPr>
                <w:sz w:val="22"/>
                <w:szCs w:val="22"/>
              </w:rPr>
            </w:pPr>
          </w:p>
          <w:p w:rsidR="0079779A" w:rsidRDefault="003E5439" w14:paraId="6558EC8B" w14:textId="77777777">
            <w:pPr>
              <w:rPr>
                <w:i/>
                <w:sz w:val="22"/>
                <w:szCs w:val="22"/>
              </w:rPr>
            </w:pPr>
            <w:r>
              <w:rPr>
                <w:i/>
                <w:sz w:val="22"/>
                <w:szCs w:val="22"/>
              </w:rPr>
              <w:t>with a cc to:</w:t>
            </w:r>
          </w:p>
          <w:p w:rsidR="0079779A" w:rsidRDefault="003E5439" w14:paraId="1F777EA5" w14:textId="77777777">
            <w:pPr>
              <w:ind w:left="158"/>
              <w:rPr>
                <w:sz w:val="22"/>
                <w:szCs w:val="22"/>
                <w:highlight w:val="yellow"/>
              </w:rPr>
            </w:pPr>
            <w:r>
              <w:rPr>
                <w:sz w:val="22"/>
                <w:szCs w:val="22"/>
                <w:highlight w:val="yellow"/>
              </w:rPr>
              <w:t xml:space="preserve">_________________________ </w:t>
            </w:r>
          </w:p>
          <w:p w:rsidR="0079779A" w:rsidRDefault="003E5439" w14:paraId="464233DE" w14:textId="77777777">
            <w:pPr>
              <w:ind w:left="158"/>
              <w:rPr>
                <w:sz w:val="22"/>
                <w:szCs w:val="22"/>
                <w:highlight w:val="yellow"/>
              </w:rPr>
            </w:pPr>
            <w:r>
              <w:rPr>
                <w:sz w:val="22"/>
                <w:szCs w:val="22"/>
                <w:highlight w:val="yellow"/>
              </w:rPr>
              <w:t xml:space="preserve">_________________________ </w:t>
            </w:r>
          </w:p>
          <w:p w:rsidR="0079779A" w:rsidRDefault="003E5439" w14:paraId="74CCA0C4" w14:textId="77777777">
            <w:pPr>
              <w:ind w:left="158"/>
              <w:rPr>
                <w:sz w:val="22"/>
                <w:szCs w:val="22"/>
                <w:highlight w:val="yellow"/>
              </w:rPr>
            </w:pPr>
            <w:r>
              <w:rPr>
                <w:sz w:val="22"/>
                <w:szCs w:val="22"/>
                <w:highlight w:val="yellow"/>
              </w:rPr>
              <w:t xml:space="preserve">_________________________ </w:t>
            </w:r>
          </w:p>
          <w:p w:rsidR="0079779A" w:rsidRDefault="003E5439" w14:paraId="6940663A" w14:textId="77777777">
            <w:pPr>
              <w:ind w:left="261"/>
              <w:rPr>
                <w:sz w:val="22"/>
                <w:szCs w:val="22"/>
              </w:rPr>
            </w:pPr>
            <w:r>
              <w:rPr>
                <w:sz w:val="22"/>
                <w:szCs w:val="22"/>
              </w:rPr>
              <w:t xml:space="preserve">Phone: </w:t>
            </w:r>
            <w:r>
              <w:rPr>
                <w:sz w:val="22"/>
                <w:szCs w:val="22"/>
                <w:highlight w:val="yellow"/>
              </w:rPr>
              <w:t>_________</w:t>
            </w:r>
          </w:p>
          <w:p w:rsidR="0079779A" w:rsidRDefault="003E5439" w14:paraId="669EB5FB" w14:textId="77777777">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rsidR="0079779A" w:rsidRDefault="0079779A" w14:paraId="71B84223" w14:textId="77777777">
            <w:pPr>
              <w:ind w:left="180"/>
              <w:rPr>
                <w:sz w:val="22"/>
                <w:szCs w:val="22"/>
              </w:rPr>
            </w:pPr>
          </w:p>
          <w:p w:rsidR="0079779A" w:rsidRDefault="0079779A" w14:paraId="44CE1E64" w14:textId="77777777">
            <w:pPr>
              <w:ind w:left="153"/>
              <w:rPr>
                <w:sz w:val="22"/>
                <w:szCs w:val="22"/>
              </w:rPr>
            </w:pPr>
          </w:p>
        </w:tc>
      </w:tr>
      <w:tr w:rsidR="0079779A" w14:paraId="66C5CA75" w14:textId="77777777">
        <w:trPr>
          <w:jc w:val="center"/>
        </w:trPr>
        <w:tc>
          <w:tcPr>
            <w:tcW w:w="4428" w:type="dxa"/>
          </w:tcPr>
          <w:p w:rsidR="0079779A" w:rsidRDefault="003E5439" w14:paraId="2CBE2EF7" w14:textId="77777777">
            <w:pPr>
              <w:spacing w:before="60"/>
              <w:rPr>
                <w:b/>
                <w:sz w:val="22"/>
                <w:szCs w:val="22"/>
              </w:rPr>
            </w:pPr>
            <w:r>
              <w:rPr>
                <w:b/>
                <w:sz w:val="22"/>
                <w:szCs w:val="22"/>
              </w:rPr>
              <w:t>Operating Committee Representative:</w:t>
            </w:r>
          </w:p>
          <w:p w:rsidR="0079779A" w:rsidRDefault="003E5439" w14:paraId="171C724E" w14:textId="77777777">
            <w:pPr>
              <w:ind w:left="180"/>
              <w:rPr>
                <w:sz w:val="22"/>
                <w:szCs w:val="22"/>
              </w:rPr>
            </w:pPr>
            <w:r>
              <w:rPr>
                <w:sz w:val="22"/>
                <w:szCs w:val="22"/>
                <w:highlight w:val="yellow"/>
              </w:rPr>
              <w:t>____________________</w:t>
            </w:r>
          </w:p>
          <w:p w:rsidR="0079779A" w:rsidRDefault="003E5439" w14:paraId="3959D322" w14:textId="77777777">
            <w:pPr>
              <w:ind w:left="180"/>
              <w:rPr>
                <w:sz w:val="22"/>
                <w:szCs w:val="22"/>
              </w:rPr>
            </w:pPr>
            <w:r>
              <w:rPr>
                <w:sz w:val="22"/>
                <w:szCs w:val="22"/>
              </w:rPr>
              <w:t>Purchased Power Manager</w:t>
            </w:r>
          </w:p>
          <w:p w:rsidR="0079779A" w:rsidRDefault="003E5439" w14:paraId="46058D0D" w14:textId="77777777">
            <w:pPr>
              <w:ind w:left="180"/>
              <w:rPr>
                <w:sz w:val="22"/>
                <w:szCs w:val="22"/>
              </w:rPr>
            </w:pPr>
            <w:r>
              <w:rPr>
                <w:sz w:val="22"/>
                <w:szCs w:val="22"/>
              </w:rPr>
              <w:t>Xcel Energy Services Inc.</w:t>
            </w:r>
          </w:p>
          <w:p w:rsidR="0079779A" w:rsidRDefault="003E5439" w14:paraId="5E01136C" w14:textId="77777777">
            <w:pPr>
              <w:ind w:left="180"/>
              <w:rPr>
                <w:sz w:val="22"/>
                <w:szCs w:val="22"/>
              </w:rPr>
            </w:pPr>
            <w:r>
              <w:rPr>
                <w:sz w:val="22"/>
                <w:szCs w:val="22"/>
              </w:rPr>
              <w:t>1800 Larimer Street, Suite 1000</w:t>
            </w:r>
          </w:p>
          <w:p w:rsidR="0079779A" w:rsidRDefault="003E5439" w14:paraId="6A52FF0F" w14:textId="77777777">
            <w:pPr>
              <w:ind w:left="180"/>
              <w:rPr>
                <w:sz w:val="22"/>
                <w:szCs w:val="22"/>
              </w:rPr>
            </w:pPr>
            <w:r>
              <w:rPr>
                <w:sz w:val="22"/>
                <w:szCs w:val="22"/>
              </w:rPr>
              <w:t>Denver, CO  80202</w:t>
            </w:r>
          </w:p>
          <w:p w:rsidR="0079779A" w:rsidRDefault="003E5439" w14:paraId="0D0FC0B6" w14:textId="77777777">
            <w:pPr>
              <w:ind w:left="261"/>
              <w:rPr>
                <w:sz w:val="22"/>
                <w:szCs w:val="22"/>
              </w:rPr>
            </w:pPr>
            <w:r>
              <w:rPr>
                <w:sz w:val="22"/>
                <w:szCs w:val="22"/>
              </w:rPr>
              <w:t xml:space="preserve">Phone: </w:t>
            </w:r>
            <w:r>
              <w:rPr>
                <w:sz w:val="22"/>
                <w:szCs w:val="22"/>
                <w:highlight w:val="yellow"/>
              </w:rPr>
              <w:t>_________</w:t>
            </w:r>
          </w:p>
          <w:p w:rsidR="0079779A" w:rsidRDefault="003E5439" w14:paraId="3060CCED" w14:textId="77777777">
            <w:pPr>
              <w:ind w:left="261"/>
              <w:rPr>
                <w:sz w:val="22"/>
                <w:szCs w:val="22"/>
              </w:rPr>
            </w:pPr>
            <w:r>
              <w:rPr>
                <w:sz w:val="22"/>
                <w:szCs w:val="22"/>
              </w:rPr>
              <w:t xml:space="preserve">E-mail: </w:t>
            </w:r>
            <w:r>
              <w:rPr>
                <w:sz w:val="22"/>
                <w:szCs w:val="22"/>
                <w:highlight w:val="yellow"/>
              </w:rPr>
              <w:t>_________</w:t>
            </w:r>
            <w:r>
              <w:rPr>
                <w:sz w:val="22"/>
                <w:szCs w:val="22"/>
              </w:rPr>
              <w:t>@xcelenergy.com</w:t>
            </w:r>
          </w:p>
          <w:p w:rsidR="0079779A" w:rsidRDefault="0079779A" w14:paraId="0CA26C87" w14:textId="77777777">
            <w:pPr>
              <w:ind w:left="180"/>
              <w:rPr>
                <w:sz w:val="22"/>
                <w:szCs w:val="22"/>
              </w:rPr>
            </w:pPr>
          </w:p>
          <w:p w:rsidR="0079779A" w:rsidRDefault="0079779A" w14:paraId="4E2A3502" w14:textId="77777777">
            <w:pPr>
              <w:rPr>
                <w:sz w:val="22"/>
                <w:szCs w:val="22"/>
              </w:rPr>
            </w:pPr>
          </w:p>
          <w:p w:rsidR="0079779A" w:rsidRDefault="003E5439" w14:paraId="44406FE2" w14:textId="77777777">
            <w:pPr>
              <w:rPr>
                <w:b/>
                <w:sz w:val="22"/>
                <w:szCs w:val="22"/>
              </w:rPr>
            </w:pPr>
            <w:r>
              <w:rPr>
                <w:b/>
                <w:sz w:val="22"/>
                <w:szCs w:val="22"/>
              </w:rPr>
              <w:t>Alternate:</w:t>
            </w:r>
          </w:p>
          <w:p w:rsidR="0079779A" w:rsidRDefault="003E5439" w14:paraId="771108FD" w14:textId="77777777">
            <w:pPr>
              <w:ind w:left="171"/>
              <w:rPr>
                <w:sz w:val="22"/>
                <w:szCs w:val="22"/>
              </w:rPr>
            </w:pPr>
            <w:r>
              <w:rPr>
                <w:sz w:val="22"/>
                <w:szCs w:val="22"/>
                <w:highlight w:val="yellow"/>
              </w:rPr>
              <w:t>_____________________</w:t>
            </w:r>
            <w:r>
              <w:rPr>
                <w:sz w:val="22"/>
                <w:szCs w:val="22"/>
              </w:rPr>
              <w:t xml:space="preserve"> </w:t>
            </w:r>
          </w:p>
          <w:p w:rsidR="0079779A" w:rsidRDefault="003E5439" w14:paraId="6392D495" w14:textId="77777777">
            <w:pPr>
              <w:ind w:left="171"/>
              <w:rPr>
                <w:sz w:val="22"/>
                <w:szCs w:val="22"/>
              </w:rPr>
            </w:pPr>
            <w:r>
              <w:rPr>
                <w:sz w:val="22"/>
                <w:szCs w:val="22"/>
              </w:rPr>
              <w:t>Purchased Power Analyst</w:t>
            </w:r>
          </w:p>
          <w:p w:rsidR="0079779A" w:rsidRDefault="003E5439" w14:paraId="12F24FF1" w14:textId="77777777">
            <w:pPr>
              <w:ind w:left="171"/>
              <w:rPr>
                <w:sz w:val="22"/>
                <w:szCs w:val="22"/>
              </w:rPr>
            </w:pPr>
            <w:r>
              <w:rPr>
                <w:sz w:val="22"/>
                <w:szCs w:val="22"/>
              </w:rPr>
              <w:t>Xcel Energy Services Inc.</w:t>
            </w:r>
          </w:p>
          <w:p w:rsidR="0079779A" w:rsidRDefault="003E5439" w14:paraId="74F19508" w14:textId="77777777">
            <w:pPr>
              <w:ind w:left="171"/>
              <w:rPr>
                <w:sz w:val="22"/>
                <w:szCs w:val="22"/>
              </w:rPr>
            </w:pPr>
            <w:r>
              <w:rPr>
                <w:sz w:val="22"/>
                <w:szCs w:val="22"/>
              </w:rPr>
              <w:t>1800 Larimer Street, Suite 1000</w:t>
            </w:r>
          </w:p>
          <w:p w:rsidR="0079779A" w:rsidRDefault="003E5439" w14:paraId="72EF54DB" w14:textId="77777777">
            <w:pPr>
              <w:ind w:left="171"/>
              <w:rPr>
                <w:sz w:val="22"/>
                <w:szCs w:val="22"/>
              </w:rPr>
            </w:pPr>
            <w:r>
              <w:rPr>
                <w:sz w:val="22"/>
                <w:szCs w:val="22"/>
              </w:rPr>
              <w:t>Denver, CO 80202</w:t>
            </w:r>
          </w:p>
          <w:p w:rsidR="0079779A" w:rsidRDefault="003E5439" w14:paraId="629746A0" w14:textId="77777777">
            <w:pPr>
              <w:ind w:left="261"/>
              <w:rPr>
                <w:sz w:val="22"/>
                <w:szCs w:val="22"/>
              </w:rPr>
            </w:pPr>
            <w:r>
              <w:rPr>
                <w:sz w:val="22"/>
                <w:szCs w:val="22"/>
              </w:rPr>
              <w:t xml:space="preserve">Phone: </w:t>
            </w:r>
            <w:r>
              <w:rPr>
                <w:sz w:val="22"/>
                <w:szCs w:val="22"/>
                <w:highlight w:val="yellow"/>
              </w:rPr>
              <w:t>_________</w:t>
            </w:r>
          </w:p>
          <w:p w:rsidR="0079779A" w:rsidRDefault="003E5439" w14:paraId="607D45B5" w14:textId="77777777">
            <w:pPr>
              <w:ind w:left="261"/>
              <w:rPr>
                <w:sz w:val="22"/>
                <w:szCs w:val="22"/>
              </w:rPr>
            </w:pPr>
            <w:r>
              <w:rPr>
                <w:sz w:val="22"/>
                <w:szCs w:val="22"/>
              </w:rPr>
              <w:t xml:space="preserve">E-mail: </w:t>
            </w:r>
            <w:r>
              <w:rPr>
                <w:sz w:val="22"/>
                <w:szCs w:val="22"/>
                <w:highlight w:val="yellow"/>
              </w:rPr>
              <w:t>_________</w:t>
            </w:r>
            <w:r>
              <w:rPr>
                <w:sz w:val="22"/>
                <w:szCs w:val="22"/>
              </w:rPr>
              <w:t>@xcelenergy.com</w:t>
            </w:r>
          </w:p>
          <w:p w:rsidR="0079779A" w:rsidRDefault="0079779A" w14:paraId="40E82BF0" w14:textId="77777777">
            <w:pPr>
              <w:ind w:left="180"/>
              <w:rPr>
                <w:sz w:val="22"/>
                <w:szCs w:val="22"/>
              </w:rPr>
            </w:pPr>
          </w:p>
          <w:p w:rsidR="0079779A" w:rsidRDefault="0079779A" w14:paraId="25EA6158" w14:textId="77777777">
            <w:pPr>
              <w:tabs>
                <w:tab w:val="center" w:pos="4680"/>
                <w:tab w:val="right" w:pos="9360"/>
              </w:tabs>
              <w:ind w:left="171"/>
              <w:rPr>
                <w:sz w:val="22"/>
                <w:szCs w:val="22"/>
              </w:rPr>
            </w:pPr>
          </w:p>
        </w:tc>
        <w:tc>
          <w:tcPr>
            <w:tcW w:w="4590" w:type="dxa"/>
          </w:tcPr>
          <w:p w:rsidR="0079779A" w:rsidRDefault="003E5439" w14:paraId="2BA52790" w14:textId="77777777">
            <w:pPr>
              <w:spacing w:before="60"/>
              <w:rPr>
                <w:b/>
                <w:sz w:val="22"/>
                <w:szCs w:val="22"/>
              </w:rPr>
            </w:pPr>
            <w:r>
              <w:rPr>
                <w:b/>
                <w:sz w:val="22"/>
                <w:szCs w:val="22"/>
              </w:rPr>
              <w:t>Operating Committee Representative:</w:t>
            </w:r>
          </w:p>
          <w:p w:rsidR="0079779A" w:rsidRDefault="003E5439" w14:paraId="79EB9ACC" w14:textId="77777777">
            <w:pPr>
              <w:ind w:left="153"/>
              <w:rPr>
                <w:sz w:val="22"/>
                <w:szCs w:val="22"/>
                <w:highlight w:val="yellow"/>
              </w:rPr>
            </w:pPr>
            <w:r>
              <w:rPr>
                <w:sz w:val="22"/>
                <w:szCs w:val="22"/>
                <w:highlight w:val="yellow"/>
              </w:rPr>
              <w:t xml:space="preserve">______________________ </w:t>
            </w:r>
          </w:p>
          <w:p w:rsidR="0079779A" w:rsidRDefault="003E5439" w14:paraId="5E9E7BFE" w14:textId="77777777">
            <w:pPr>
              <w:ind w:left="153"/>
              <w:rPr>
                <w:sz w:val="22"/>
                <w:szCs w:val="22"/>
                <w:highlight w:val="yellow"/>
              </w:rPr>
            </w:pPr>
            <w:r>
              <w:rPr>
                <w:sz w:val="22"/>
                <w:szCs w:val="22"/>
                <w:highlight w:val="yellow"/>
              </w:rPr>
              <w:t xml:space="preserve">______________________ </w:t>
            </w:r>
          </w:p>
          <w:p w:rsidR="0079779A" w:rsidRDefault="003E5439" w14:paraId="0107B118" w14:textId="77777777">
            <w:pPr>
              <w:ind w:left="153"/>
              <w:rPr>
                <w:sz w:val="22"/>
                <w:szCs w:val="22"/>
              </w:rPr>
            </w:pPr>
            <w:r>
              <w:rPr>
                <w:sz w:val="22"/>
                <w:szCs w:val="22"/>
                <w:highlight w:val="yellow"/>
              </w:rPr>
              <w:t>______________________</w:t>
            </w:r>
            <w:r>
              <w:rPr>
                <w:sz w:val="22"/>
                <w:szCs w:val="22"/>
              </w:rPr>
              <w:t xml:space="preserve"> </w:t>
            </w:r>
          </w:p>
          <w:p w:rsidR="0079779A" w:rsidRDefault="003E5439" w14:paraId="1F2195D3" w14:textId="77777777">
            <w:pPr>
              <w:ind w:left="261"/>
              <w:rPr>
                <w:sz w:val="22"/>
                <w:szCs w:val="22"/>
              </w:rPr>
            </w:pPr>
            <w:r>
              <w:rPr>
                <w:sz w:val="22"/>
                <w:szCs w:val="22"/>
              </w:rPr>
              <w:t xml:space="preserve">Phone: </w:t>
            </w:r>
            <w:r>
              <w:rPr>
                <w:sz w:val="22"/>
                <w:szCs w:val="22"/>
                <w:highlight w:val="yellow"/>
              </w:rPr>
              <w:t>_________</w:t>
            </w:r>
          </w:p>
          <w:p w:rsidR="0079779A" w:rsidRDefault="003E5439" w14:paraId="667D8AA8" w14:textId="77777777">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rsidR="0079779A" w:rsidRDefault="0079779A" w14:paraId="793D2D8D" w14:textId="77777777">
            <w:pPr>
              <w:ind w:left="180"/>
              <w:rPr>
                <w:sz w:val="22"/>
                <w:szCs w:val="22"/>
              </w:rPr>
            </w:pPr>
          </w:p>
          <w:p w:rsidR="0079779A" w:rsidRDefault="0079779A" w14:paraId="3B096C90" w14:textId="77777777">
            <w:pPr>
              <w:rPr>
                <w:sz w:val="22"/>
                <w:szCs w:val="22"/>
              </w:rPr>
            </w:pPr>
          </w:p>
          <w:p w:rsidR="0079779A" w:rsidRDefault="0079779A" w14:paraId="7396B158" w14:textId="77777777">
            <w:pPr>
              <w:rPr>
                <w:sz w:val="22"/>
                <w:szCs w:val="22"/>
              </w:rPr>
            </w:pPr>
          </w:p>
          <w:p w:rsidR="0079779A" w:rsidRDefault="0079779A" w14:paraId="771E5F6C" w14:textId="77777777">
            <w:pPr>
              <w:rPr>
                <w:b/>
                <w:sz w:val="22"/>
                <w:szCs w:val="22"/>
              </w:rPr>
            </w:pPr>
          </w:p>
          <w:p w:rsidR="0079779A" w:rsidRDefault="003E5439" w14:paraId="633FA626" w14:textId="77777777">
            <w:pPr>
              <w:rPr>
                <w:b/>
                <w:sz w:val="22"/>
                <w:szCs w:val="22"/>
              </w:rPr>
            </w:pPr>
            <w:r>
              <w:rPr>
                <w:b/>
                <w:sz w:val="22"/>
                <w:szCs w:val="22"/>
              </w:rPr>
              <w:t>Alternate:</w:t>
            </w:r>
          </w:p>
          <w:p w:rsidR="0079779A" w:rsidRDefault="003E5439" w14:paraId="1BD5D9A5" w14:textId="77777777">
            <w:pPr>
              <w:ind w:left="153"/>
              <w:rPr>
                <w:sz w:val="22"/>
                <w:szCs w:val="22"/>
              </w:rPr>
            </w:pPr>
            <w:r>
              <w:rPr>
                <w:sz w:val="22"/>
                <w:szCs w:val="22"/>
              </w:rPr>
              <w:t xml:space="preserve">______________________ </w:t>
            </w:r>
          </w:p>
          <w:p w:rsidR="0079779A" w:rsidRDefault="003E5439" w14:paraId="760B609C" w14:textId="77777777">
            <w:pPr>
              <w:ind w:left="153"/>
              <w:rPr>
                <w:sz w:val="22"/>
                <w:szCs w:val="22"/>
              </w:rPr>
            </w:pPr>
            <w:r>
              <w:rPr>
                <w:sz w:val="22"/>
                <w:szCs w:val="22"/>
              </w:rPr>
              <w:t xml:space="preserve">______________________ </w:t>
            </w:r>
          </w:p>
          <w:p w:rsidR="0079779A" w:rsidRDefault="003E5439" w14:paraId="2D86406D" w14:textId="77777777">
            <w:pPr>
              <w:ind w:left="153"/>
              <w:rPr>
                <w:sz w:val="22"/>
                <w:szCs w:val="22"/>
              </w:rPr>
            </w:pPr>
            <w:r>
              <w:rPr>
                <w:sz w:val="22"/>
                <w:szCs w:val="22"/>
              </w:rPr>
              <w:t xml:space="preserve">______________________ </w:t>
            </w:r>
          </w:p>
          <w:p w:rsidR="0079779A" w:rsidRDefault="003E5439" w14:paraId="126263E7" w14:textId="77777777">
            <w:pPr>
              <w:ind w:left="261"/>
              <w:rPr>
                <w:sz w:val="22"/>
                <w:szCs w:val="22"/>
              </w:rPr>
            </w:pPr>
            <w:r>
              <w:rPr>
                <w:sz w:val="22"/>
                <w:szCs w:val="22"/>
              </w:rPr>
              <w:t xml:space="preserve">Phone: </w:t>
            </w:r>
            <w:r>
              <w:rPr>
                <w:sz w:val="22"/>
                <w:szCs w:val="22"/>
                <w:highlight w:val="yellow"/>
              </w:rPr>
              <w:t>_________</w:t>
            </w:r>
          </w:p>
          <w:p w:rsidR="0079779A" w:rsidRDefault="003E5439" w14:paraId="639F4146" w14:textId="77777777">
            <w:pPr>
              <w:ind w:left="261"/>
              <w:rPr>
                <w:sz w:val="22"/>
                <w:szCs w:val="22"/>
              </w:rPr>
            </w:pPr>
            <w:r>
              <w:rPr>
                <w:sz w:val="22"/>
                <w:szCs w:val="22"/>
              </w:rPr>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rsidR="0079779A" w:rsidRDefault="0079779A" w14:paraId="6F9808A6" w14:textId="77777777">
            <w:pPr>
              <w:ind w:left="180"/>
              <w:rPr>
                <w:sz w:val="22"/>
                <w:szCs w:val="22"/>
              </w:rPr>
            </w:pPr>
          </w:p>
          <w:p w:rsidR="0079779A" w:rsidRDefault="0079779A" w14:paraId="3690A990" w14:textId="77777777">
            <w:pPr>
              <w:rPr>
                <w:sz w:val="22"/>
                <w:szCs w:val="22"/>
              </w:rPr>
            </w:pPr>
          </w:p>
        </w:tc>
      </w:tr>
      <w:tr w:rsidR="0079779A" w14:paraId="3E6DB3E8" w14:textId="77777777">
        <w:trPr>
          <w:jc w:val="center"/>
        </w:trPr>
        <w:tc>
          <w:tcPr>
            <w:tcW w:w="4428" w:type="dxa"/>
          </w:tcPr>
          <w:p w:rsidR="0079779A" w:rsidRDefault="003E5439" w14:paraId="4CF4DFD7" w14:textId="77777777">
            <w:pPr>
              <w:spacing w:before="60"/>
              <w:rPr>
                <w:b/>
                <w:sz w:val="22"/>
                <w:szCs w:val="22"/>
              </w:rPr>
            </w:pPr>
            <w:r>
              <w:rPr>
                <w:b/>
                <w:sz w:val="22"/>
                <w:szCs w:val="22"/>
              </w:rPr>
              <w:t>Real-Time Contact Information</w:t>
            </w:r>
          </w:p>
          <w:p w:rsidR="0079779A" w:rsidRDefault="003E5439" w14:paraId="693C262D" w14:textId="77777777">
            <w:pPr>
              <w:spacing w:before="120"/>
              <w:rPr>
                <w:sz w:val="22"/>
                <w:szCs w:val="22"/>
              </w:rPr>
            </w:pPr>
            <w:r>
              <w:rPr>
                <w:sz w:val="22"/>
                <w:szCs w:val="22"/>
              </w:rPr>
              <w:t xml:space="preserve"> </w:t>
            </w:r>
            <w:r>
              <w:rPr>
                <w:sz w:val="22"/>
                <w:szCs w:val="22"/>
                <w:u w:val="single"/>
              </w:rPr>
              <w:t>EMCC</w:t>
            </w:r>
            <w:r>
              <w:rPr>
                <w:sz w:val="22"/>
                <w:szCs w:val="22"/>
              </w:rPr>
              <w:t xml:space="preserve"> (24 hour coverage):</w:t>
            </w:r>
          </w:p>
          <w:p w:rsidR="0079779A" w:rsidRDefault="003E5439" w14:paraId="43917BD7" w14:textId="77777777">
            <w:pPr>
              <w:ind w:left="261"/>
              <w:rPr>
                <w:sz w:val="22"/>
                <w:szCs w:val="22"/>
              </w:rPr>
            </w:pPr>
            <w:r>
              <w:rPr>
                <w:sz w:val="22"/>
                <w:szCs w:val="22"/>
              </w:rPr>
              <w:t>Phone: 303-571-7426</w:t>
            </w:r>
          </w:p>
          <w:p w:rsidR="0079779A" w:rsidRDefault="003E5439" w14:paraId="3F48CBBC" w14:textId="77777777">
            <w:pPr>
              <w:ind w:left="261"/>
              <w:rPr>
                <w:sz w:val="22"/>
                <w:szCs w:val="22"/>
              </w:rPr>
            </w:pPr>
            <w:r>
              <w:rPr>
                <w:sz w:val="22"/>
                <w:szCs w:val="22"/>
              </w:rPr>
              <w:lastRenderedPageBreak/>
              <w:t xml:space="preserve">E-mail: </w:t>
            </w:r>
            <w:hyperlink w:history="1" r:id="rId32">
              <w:r>
                <w:rPr>
                  <w:rStyle w:val="Hyperlink"/>
                  <w:rFonts w:cs="Arial"/>
                </w:rPr>
                <w:t>dlrtelectricmarketersnsp@xcelenergy.com</w:t>
              </w:r>
            </w:hyperlink>
          </w:p>
          <w:p w:rsidR="0079779A" w:rsidRDefault="0079779A" w14:paraId="66BCC2F6" w14:textId="77777777">
            <w:pPr>
              <w:rPr>
                <w:sz w:val="22"/>
                <w:szCs w:val="22"/>
              </w:rPr>
            </w:pPr>
          </w:p>
          <w:p w:rsidR="0079779A" w:rsidRDefault="003E5439" w14:paraId="72904522" w14:textId="77777777">
            <w:pPr>
              <w:rPr>
                <w:sz w:val="22"/>
                <w:szCs w:val="22"/>
              </w:rPr>
            </w:pPr>
            <w:r>
              <w:rPr>
                <w:sz w:val="22"/>
                <w:szCs w:val="22"/>
              </w:rPr>
              <w:t xml:space="preserve"> </w:t>
            </w:r>
            <w:r>
              <w:rPr>
                <w:sz w:val="22"/>
                <w:szCs w:val="22"/>
                <w:u w:val="single"/>
              </w:rPr>
              <w:t>Transmission Ops</w:t>
            </w:r>
            <w:r>
              <w:rPr>
                <w:sz w:val="22"/>
                <w:szCs w:val="22"/>
              </w:rPr>
              <w:t>:</w:t>
            </w:r>
          </w:p>
          <w:p w:rsidR="0079779A" w:rsidRDefault="003E5439" w14:paraId="23B92D87" w14:textId="77777777">
            <w:pPr>
              <w:ind w:left="261"/>
              <w:rPr>
                <w:sz w:val="22"/>
                <w:szCs w:val="22"/>
              </w:rPr>
            </w:pPr>
            <w:r>
              <w:rPr>
                <w:sz w:val="22"/>
                <w:szCs w:val="22"/>
              </w:rPr>
              <w:t>Phone: 303-273-4811</w:t>
            </w:r>
          </w:p>
          <w:p w:rsidR="0079779A" w:rsidRDefault="003E5439" w14:paraId="12145768" w14:textId="77777777">
            <w:pPr>
              <w:ind w:left="261"/>
              <w:rPr>
                <w:sz w:val="22"/>
                <w:szCs w:val="22"/>
              </w:rPr>
            </w:pPr>
            <w:r>
              <w:rPr>
                <w:sz w:val="22"/>
                <w:szCs w:val="22"/>
              </w:rPr>
              <w:t xml:space="preserve">E-mail: </w:t>
            </w:r>
            <w:hyperlink w:history="1" r:id="rId33">
              <w:r>
                <w:rPr>
                  <w:rStyle w:val="Hyperlink"/>
                  <w:sz w:val="22"/>
                  <w:szCs w:val="22"/>
                </w:rPr>
                <w:t>AGCOpr@xcelenergy.com</w:t>
              </w:r>
            </w:hyperlink>
          </w:p>
        </w:tc>
        <w:tc>
          <w:tcPr>
            <w:tcW w:w="4590" w:type="dxa"/>
          </w:tcPr>
          <w:p w:rsidR="0079779A" w:rsidRDefault="003E5439" w14:paraId="3169EF93" w14:textId="77777777">
            <w:pPr>
              <w:spacing w:before="60"/>
              <w:rPr>
                <w:b/>
                <w:sz w:val="22"/>
                <w:szCs w:val="22"/>
              </w:rPr>
            </w:pPr>
            <w:r>
              <w:rPr>
                <w:b/>
                <w:sz w:val="22"/>
                <w:szCs w:val="22"/>
              </w:rPr>
              <w:lastRenderedPageBreak/>
              <w:t>Real-Time Contact Information</w:t>
            </w:r>
          </w:p>
          <w:p w:rsidR="0079779A" w:rsidRDefault="003E5439" w14:paraId="4818961F" w14:textId="77777777">
            <w:pPr>
              <w:spacing w:before="120"/>
              <w:rPr>
                <w:sz w:val="22"/>
                <w:szCs w:val="22"/>
              </w:rPr>
            </w:pPr>
            <w:r>
              <w:rPr>
                <w:sz w:val="22"/>
                <w:szCs w:val="22"/>
                <w:u w:val="single"/>
              </w:rPr>
              <w:t>[Operations Command Center</w:t>
            </w:r>
            <w:r>
              <w:rPr>
                <w:sz w:val="22"/>
                <w:szCs w:val="22"/>
              </w:rPr>
              <w:t xml:space="preserve">] </w:t>
            </w:r>
          </w:p>
          <w:p w:rsidR="0079779A" w:rsidRDefault="003E5439" w14:paraId="7243F42E" w14:textId="77777777">
            <w:pPr>
              <w:rPr>
                <w:sz w:val="22"/>
                <w:szCs w:val="22"/>
              </w:rPr>
            </w:pPr>
            <w:r>
              <w:rPr>
                <w:sz w:val="22"/>
                <w:szCs w:val="22"/>
              </w:rPr>
              <w:t xml:space="preserve">          (24 hour coverage):</w:t>
            </w:r>
          </w:p>
          <w:p w:rsidR="0079779A" w:rsidRDefault="003E5439" w14:paraId="33FB8F82" w14:textId="77777777">
            <w:pPr>
              <w:ind w:left="261"/>
              <w:rPr>
                <w:sz w:val="22"/>
                <w:szCs w:val="22"/>
              </w:rPr>
            </w:pPr>
            <w:r>
              <w:rPr>
                <w:sz w:val="22"/>
                <w:szCs w:val="22"/>
              </w:rPr>
              <w:t xml:space="preserve">Phone: </w:t>
            </w:r>
            <w:r>
              <w:rPr>
                <w:sz w:val="22"/>
                <w:szCs w:val="22"/>
                <w:highlight w:val="yellow"/>
              </w:rPr>
              <w:t>_________</w:t>
            </w:r>
          </w:p>
          <w:p w:rsidR="0079779A" w:rsidRDefault="003E5439" w14:paraId="54BD3F5F" w14:textId="77777777">
            <w:pPr>
              <w:ind w:left="261"/>
              <w:rPr>
                <w:sz w:val="22"/>
                <w:szCs w:val="22"/>
              </w:rPr>
            </w:pPr>
            <w:r>
              <w:rPr>
                <w:sz w:val="22"/>
                <w:szCs w:val="22"/>
              </w:rPr>
              <w:lastRenderedPageBreak/>
              <w:t xml:space="preserve">E-mail: </w:t>
            </w:r>
            <w:r>
              <w:rPr>
                <w:sz w:val="22"/>
                <w:szCs w:val="22"/>
                <w:highlight w:val="yellow"/>
              </w:rPr>
              <w:t>_________</w:t>
            </w:r>
            <w:r>
              <w:rPr>
                <w:sz w:val="22"/>
                <w:szCs w:val="22"/>
              </w:rPr>
              <w:t>@</w:t>
            </w:r>
            <w:r>
              <w:rPr>
                <w:sz w:val="22"/>
                <w:szCs w:val="22"/>
                <w:highlight w:val="yellow"/>
              </w:rPr>
              <w:t>_________.</w:t>
            </w:r>
            <w:r>
              <w:rPr>
                <w:sz w:val="22"/>
                <w:szCs w:val="22"/>
              </w:rPr>
              <w:t>com</w:t>
            </w:r>
          </w:p>
          <w:p w:rsidR="0079779A" w:rsidRDefault="0079779A" w14:paraId="7B3514D9" w14:textId="77777777">
            <w:pPr>
              <w:spacing w:before="60"/>
              <w:ind w:left="153"/>
              <w:rPr>
                <w:b/>
                <w:sz w:val="22"/>
                <w:szCs w:val="22"/>
              </w:rPr>
            </w:pPr>
          </w:p>
        </w:tc>
      </w:tr>
    </w:tbl>
    <w:p w:rsidR="0079779A" w:rsidRDefault="0079779A" w14:paraId="119B947D" w14:textId="77777777">
      <w:pPr>
        <w:pStyle w:val="TitleArial12"/>
        <w:spacing w:after="240"/>
        <w:jc w:val="left"/>
        <w:rPr>
          <w:szCs w:val="24"/>
        </w:rPr>
        <w:sectPr w:rsidR="0079779A">
          <w:footerReference w:type="default" r:id="rId34"/>
          <w:footerReference w:type="first" r:id="rId35"/>
          <w:pgSz w:w="12240" w:h="15840"/>
          <w:pgMar w:top="1440" w:right="1800" w:bottom="1440" w:left="1800" w:header="720" w:footer="720" w:gutter="0"/>
          <w:pgNumType w:start="1" w:chapStyle="1"/>
          <w:cols w:space="720"/>
          <w:titlePg/>
          <w:docGrid w:linePitch="360"/>
        </w:sectPr>
      </w:pPr>
    </w:p>
    <w:p w:rsidR="0079779A" w:rsidRDefault="003E5439" w14:paraId="189C44A6" w14:textId="77777777">
      <w:pPr>
        <w:pStyle w:val="TitleArial12"/>
        <w:spacing w:after="120"/>
        <w:rPr>
          <w:szCs w:val="24"/>
        </w:rPr>
      </w:pPr>
      <w:r>
        <w:rPr>
          <w:szCs w:val="24"/>
        </w:rPr>
        <w:lastRenderedPageBreak/>
        <w:t>EXHIBIT E</w:t>
      </w:r>
    </w:p>
    <w:p w:rsidR="0079779A" w:rsidRDefault="003E5439" w14:paraId="3E02417D" w14:textId="77777777">
      <w:pPr>
        <w:pStyle w:val="TitleArial12"/>
        <w:spacing w:after="240"/>
        <w:rPr>
          <w:szCs w:val="24"/>
        </w:rPr>
      </w:pPr>
      <w:r>
        <w:rPr>
          <w:szCs w:val="24"/>
        </w:rPr>
        <w:t>INSURANCE COVERAGE</w:t>
      </w:r>
    </w:p>
    <w:p w:rsidR="0079779A" w:rsidRDefault="003E5439" w14:paraId="77972030" w14:textId="77777777">
      <w:pPr>
        <w:pStyle w:val="TitleArial12"/>
        <w:spacing w:after="240"/>
        <w:rPr>
          <w:szCs w:val="24"/>
        </w:rPr>
      </w:pPr>
      <w:r>
        <w:rPr>
          <w:szCs w:val="24"/>
        </w:rPr>
        <w:fldChar w:fldCharType="begin"/>
      </w:r>
      <w:r>
        <w:rPr>
          <w:szCs w:val="24"/>
        </w:rPr>
        <w:instrText xml:space="preserve"> TC \l "1"</w:instrText>
      </w:r>
      <w:r>
        <w:rPr>
          <w:szCs w:val="24"/>
        </w:rPr>
        <w:fldChar w:fldCharType="end"/>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4"/>
        <w:gridCol w:w="5145"/>
      </w:tblGrid>
      <w:tr w:rsidR="0079779A" w14:paraId="1B4E95EE" w14:textId="77777777">
        <w:tc>
          <w:tcPr>
            <w:tcW w:w="3978" w:type="dxa"/>
            <w:tcBorders>
              <w:bottom w:val="double" w:color="auto" w:sz="4" w:space="0"/>
            </w:tcBorders>
          </w:tcPr>
          <w:p w:rsidR="0079779A" w:rsidRDefault="003E5439" w14:paraId="7BBAD216" w14:textId="77777777">
            <w:pPr>
              <w:widowControl w:val="0"/>
              <w:spacing w:before="40" w:after="40"/>
              <w:rPr>
                <w:rFonts w:cs="Arial"/>
                <w:b/>
                <w:bCs/>
              </w:rPr>
            </w:pPr>
            <w:r>
              <w:rPr>
                <w:rFonts w:cs="Arial"/>
                <w:b/>
                <w:bCs/>
              </w:rPr>
              <w:t>Type of Insurance</w:t>
            </w:r>
          </w:p>
        </w:tc>
        <w:tc>
          <w:tcPr>
            <w:tcW w:w="5382" w:type="dxa"/>
            <w:tcBorders>
              <w:bottom w:val="double" w:color="auto" w:sz="4" w:space="0"/>
            </w:tcBorders>
          </w:tcPr>
          <w:p w:rsidR="0079779A" w:rsidRDefault="003E5439" w14:paraId="491A918C" w14:textId="77777777">
            <w:pPr>
              <w:widowControl w:val="0"/>
              <w:spacing w:before="40" w:after="40"/>
              <w:rPr>
                <w:rFonts w:cs="Arial"/>
                <w:b/>
                <w:bCs/>
              </w:rPr>
            </w:pPr>
            <w:r>
              <w:rPr>
                <w:rFonts w:cs="Arial"/>
                <w:b/>
                <w:bCs/>
              </w:rPr>
              <w:t>Minimum Limits of Coverage</w:t>
            </w:r>
          </w:p>
        </w:tc>
      </w:tr>
      <w:tr w:rsidR="0079779A" w14:paraId="790F32D7" w14:textId="77777777">
        <w:trPr>
          <w:trHeight w:val="188"/>
        </w:trPr>
        <w:tc>
          <w:tcPr>
            <w:tcW w:w="3978" w:type="dxa"/>
            <w:tcBorders>
              <w:top w:val="double" w:color="auto" w:sz="4" w:space="0"/>
              <w:left w:val="nil"/>
              <w:bottom w:val="single" w:color="auto" w:sz="4" w:space="0"/>
              <w:right w:val="nil"/>
            </w:tcBorders>
          </w:tcPr>
          <w:p w:rsidR="0079779A" w:rsidRDefault="0079779A" w14:paraId="30DA9EC8" w14:textId="77777777">
            <w:pPr>
              <w:widowControl w:val="0"/>
              <w:spacing w:before="40"/>
              <w:rPr>
                <w:rFonts w:cs="Arial"/>
              </w:rPr>
            </w:pPr>
          </w:p>
        </w:tc>
        <w:tc>
          <w:tcPr>
            <w:tcW w:w="5382" w:type="dxa"/>
            <w:tcBorders>
              <w:top w:val="double" w:color="auto" w:sz="4" w:space="0"/>
              <w:left w:val="nil"/>
              <w:bottom w:val="single" w:color="auto" w:sz="4" w:space="0"/>
              <w:right w:val="nil"/>
            </w:tcBorders>
          </w:tcPr>
          <w:p w:rsidR="0079779A" w:rsidRDefault="0079779A" w14:paraId="4E0A37E5" w14:textId="77777777">
            <w:pPr>
              <w:widowControl w:val="0"/>
              <w:spacing w:before="40"/>
              <w:jc w:val="both"/>
              <w:rPr>
                <w:rFonts w:cs="Arial"/>
              </w:rPr>
            </w:pPr>
          </w:p>
        </w:tc>
      </w:tr>
      <w:tr w:rsidR="0079779A" w14:paraId="75C3AC4C" w14:textId="77777777">
        <w:tc>
          <w:tcPr>
            <w:tcW w:w="3978" w:type="dxa"/>
            <w:tcBorders>
              <w:top w:val="single" w:color="auto" w:sz="4" w:space="0"/>
            </w:tcBorders>
          </w:tcPr>
          <w:p w:rsidR="0079779A" w:rsidRDefault="003E5439" w14:paraId="571E5C76" w14:textId="77777777">
            <w:pPr>
              <w:widowControl w:val="0"/>
              <w:spacing w:before="40"/>
              <w:rPr>
                <w:rFonts w:cs="Arial"/>
              </w:rPr>
            </w:pPr>
            <w:r>
              <w:rPr>
                <w:rFonts w:cs="Arial"/>
              </w:rPr>
              <w:t>Commercial General Liability (CGL) and commercial umbrella</w:t>
            </w:r>
          </w:p>
        </w:tc>
        <w:tc>
          <w:tcPr>
            <w:tcW w:w="5382" w:type="dxa"/>
            <w:tcBorders>
              <w:top w:val="single" w:color="auto" w:sz="4" w:space="0"/>
            </w:tcBorders>
          </w:tcPr>
          <w:p w:rsidR="0079779A" w:rsidRDefault="003E5439" w14:paraId="42CE0C89" w14:textId="77777777">
            <w:pPr>
              <w:widowControl w:val="0"/>
              <w:spacing w:before="40"/>
              <w:jc w:val="both"/>
              <w:rPr>
                <w:rFonts w:cs="Arial"/>
              </w:rPr>
            </w:pPr>
            <w:r>
              <w:rPr>
                <w:rFonts w:cs="Arial"/>
              </w:rPr>
              <w:t>$11,000,000 combined single limit each occurrence and the aggregate, where applicable.  If CGL insurance contains a general aggregate limit, it shall apply separately to the Facility.</w:t>
            </w:r>
          </w:p>
        </w:tc>
      </w:tr>
    </w:tbl>
    <w:p w:rsidR="0079779A" w:rsidRDefault="003E5439" w14:paraId="6EB5D937" w14:textId="77777777">
      <w:pPr>
        <w:pStyle w:val="BodyText11"/>
        <w:spacing w:before="60"/>
        <w:ind w:left="90"/>
        <w:rPr>
          <w:rFonts w:cs="Arial"/>
          <w:sz w:val="24"/>
          <w:szCs w:val="24"/>
        </w:rPr>
      </w:pPr>
      <w:r>
        <w:rPr>
          <w:rFonts w:cs="Arial"/>
          <w:sz w:val="24"/>
          <w:szCs w:val="24"/>
        </w:rPr>
        <w:t>CGL insurance shall be written on ISO occurrence form CG 00 01 01 96 (or a substitute form providing equivalent coverage) and shall cover liability arising from premises, operations, independent contractors, products/completed operations, contracts, property damage, personal injury and advertising injury, and liability assumed under an insured contract (including the tort liability of another assumed in a business contract), all with limits as specified above.  CGL insurance shall include ISO endorsement CG 24 17 (or an equivalent endorsement) which modifies the definition of “Insured contract” to eliminate the exclusion of easement or license agreements in connection with construction or demolition operations on or within 50 feet of a railroad.  There shall be no endorsement or modification of the CGL insurance limiting the scope of coverage for liability arising from explosion, collapse, or underground property damage.</w:t>
      </w:r>
    </w:p>
    <w:p w:rsidR="0079779A" w:rsidRDefault="003E5439" w14:paraId="515B0BB0" w14:textId="77777777">
      <w:pPr>
        <w:pStyle w:val="BodyText11"/>
        <w:spacing w:after="80"/>
        <w:ind w:left="90"/>
        <w:rPr>
          <w:rFonts w:cs="Arial"/>
          <w:sz w:val="24"/>
          <w:szCs w:val="24"/>
        </w:rPr>
      </w:pPr>
      <w:r>
        <w:rPr>
          <w:rFonts w:cs="Arial"/>
          <w:sz w:val="24"/>
          <w:szCs w:val="24"/>
        </w:rPr>
        <w:t>Company shall be included as an insured under the CGL policy, using ISO additional insured endorsement CG 20 10 (or a substitute providing equivalent coverage), and under the commercial umbrella insurance.  The commercial umbrella insurance shall provide coverage over the top of the CGL insurance, the Business Automobile Liability insurance, and the Employers Liability insurance.  The CGL and commercial umbrella insurance to be obtained by or on behalf of Seller shall be endorsed as follows:</w:t>
      </w:r>
    </w:p>
    <w:p w:rsidR="0079779A" w:rsidRDefault="003E5439" w14:paraId="2CDC50C1" w14:textId="77777777">
      <w:pPr>
        <w:pStyle w:val="DoubleIndent11"/>
        <w:spacing w:after="360"/>
        <w:rPr>
          <w:rFonts w:cs="Arial"/>
          <w:sz w:val="24"/>
        </w:rPr>
      </w:pPr>
      <w:r>
        <w:rPr>
          <w:rFonts w:cs="Arial"/>
          <w:sz w:val="24"/>
        </w:rPr>
        <w:t>Such insurance as afforded by this policy for the benefit of Company shall be primary as respects any claims, losses, damages, expenses, or liabilities arising out of this PPA, and insured hereunder, and any insurance carried by Company shall be excess of and noncontributing with insurance afforded by this policy.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1"/>
        <w:gridCol w:w="5148"/>
      </w:tblGrid>
      <w:tr w:rsidR="0079779A" w14:paraId="023F1060" w14:textId="77777777">
        <w:tc>
          <w:tcPr>
            <w:tcW w:w="3978" w:type="dxa"/>
          </w:tcPr>
          <w:p w:rsidR="0079779A" w:rsidRDefault="003E5439" w14:paraId="1B12D295" w14:textId="77777777">
            <w:pPr>
              <w:widowControl w:val="0"/>
              <w:spacing w:before="40" w:after="40"/>
              <w:rPr>
                <w:rFonts w:cs="Arial"/>
              </w:rPr>
            </w:pPr>
            <w:r>
              <w:rPr>
                <w:rFonts w:cs="Arial"/>
              </w:rPr>
              <w:t>Business Automobile Liability</w:t>
            </w:r>
          </w:p>
        </w:tc>
        <w:tc>
          <w:tcPr>
            <w:tcW w:w="5382" w:type="dxa"/>
          </w:tcPr>
          <w:p w:rsidR="0079779A" w:rsidRDefault="003E5439" w14:paraId="3C256922" w14:textId="77777777">
            <w:pPr>
              <w:widowControl w:val="0"/>
              <w:spacing w:before="40" w:after="40"/>
              <w:jc w:val="both"/>
              <w:rPr>
                <w:rFonts w:cs="Arial"/>
              </w:rPr>
            </w:pPr>
            <w:r>
              <w:rPr>
                <w:rFonts w:cs="Arial"/>
              </w:rPr>
              <w:t xml:space="preserve">$2,000,000 combined single limit (each accident), including all Owned, </w:t>
            </w:r>
            <w:proofErr w:type="gramStart"/>
            <w:r>
              <w:rPr>
                <w:rFonts w:cs="Arial"/>
              </w:rPr>
              <w:t>Non</w:t>
            </w:r>
            <w:proofErr w:type="gramEnd"/>
            <w:r>
              <w:rPr>
                <w:rFonts w:cs="Arial"/>
              </w:rPr>
              <w:noBreakHyphen/>
              <w:t>Owned, Hired and Leased Autos.</w:t>
            </w:r>
          </w:p>
        </w:tc>
      </w:tr>
    </w:tbl>
    <w:p w:rsidR="0079779A" w:rsidRDefault="003E5439" w14:paraId="4863F03E" w14:textId="77777777">
      <w:pPr>
        <w:pStyle w:val="BodyText11"/>
        <w:spacing w:before="40" w:after="360"/>
        <w:ind w:left="90"/>
        <w:rPr>
          <w:rFonts w:cs="Arial"/>
          <w:sz w:val="24"/>
          <w:szCs w:val="24"/>
        </w:rPr>
      </w:pPr>
      <w:r>
        <w:rPr>
          <w:rFonts w:cs="Arial"/>
          <w:sz w:val="24"/>
          <w:szCs w:val="24"/>
        </w:rPr>
        <w:t>Business Automobile Liability insurance shall be written on ISO form CA  00 01, CA 00 05, CA 00 12, CA 00 20, or a substitute form providing equivalent liability coverage.  If necessary, the policy shall be endorsed to provide contractual liability coverage equivalent to that provided in the 1990 and later editions of CA 00 01.</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9"/>
        <w:gridCol w:w="5140"/>
      </w:tblGrid>
      <w:tr w:rsidR="0079779A" w14:paraId="1710DE6C" w14:textId="77777777">
        <w:tc>
          <w:tcPr>
            <w:tcW w:w="3978" w:type="dxa"/>
          </w:tcPr>
          <w:p w:rsidR="0079779A" w:rsidRDefault="003E5439" w14:paraId="3D044B4D" w14:textId="77777777">
            <w:pPr>
              <w:widowControl w:val="0"/>
              <w:spacing w:before="40" w:after="40"/>
              <w:rPr>
                <w:rFonts w:cs="Arial"/>
              </w:rPr>
            </w:pPr>
            <w:r>
              <w:rPr>
                <w:rFonts w:cs="Arial"/>
              </w:rPr>
              <w:lastRenderedPageBreak/>
              <w:t>Workers Compensation</w:t>
            </w:r>
          </w:p>
        </w:tc>
        <w:tc>
          <w:tcPr>
            <w:tcW w:w="5382" w:type="dxa"/>
          </w:tcPr>
          <w:p w:rsidR="0079779A" w:rsidRDefault="003E5439" w14:paraId="68C98C1B" w14:textId="77777777">
            <w:pPr>
              <w:widowControl w:val="0"/>
              <w:spacing w:before="40" w:after="40"/>
              <w:jc w:val="both"/>
              <w:rPr>
                <w:rFonts w:cs="Arial"/>
              </w:rPr>
            </w:pPr>
            <w:r>
              <w:rPr>
                <w:rFonts w:cs="Arial"/>
              </w:rPr>
              <w:t>Statutory Requirements.  Seller may comply with these requirements through the use of a qualified self-insurance plan.</w:t>
            </w:r>
          </w:p>
        </w:tc>
      </w:tr>
    </w:tbl>
    <w:p w:rsidR="0079779A" w:rsidRDefault="003E5439" w14:paraId="7D319D50" w14:textId="77777777">
      <w:pPr>
        <w:widowControl w:val="0"/>
        <w:jc w:val="center"/>
        <w:rPr>
          <w:rFonts w:cs="Arial"/>
        </w:rPr>
      </w:pPr>
      <w:r>
        <w:rPr>
          <w:rFonts w:cs="Arial"/>
        </w:rPr>
        <w:br w:type="page"/>
      </w:r>
      <w:r>
        <w:rPr>
          <w:rFonts w:cs="Arial"/>
        </w:rPr>
        <w:lastRenderedPageBreak/>
        <w:t xml:space="preserve">[Exhibit </w:t>
      </w:r>
      <w:proofErr w:type="gramStart"/>
      <w:r>
        <w:rPr>
          <w:rFonts w:cs="Arial"/>
        </w:rPr>
        <w:t>E  -</w:t>
      </w:r>
      <w:proofErr w:type="gramEnd"/>
      <w:r>
        <w:rPr>
          <w:rFonts w:cs="Arial"/>
        </w:rPr>
        <w:t xml:space="preserve">  continued]</w:t>
      </w:r>
    </w:p>
    <w:p w:rsidR="0079779A" w:rsidRDefault="0079779A" w14:paraId="736CFC39" w14:textId="77777777">
      <w:pPr>
        <w:widowControl w:val="0"/>
        <w:jc w:val="center"/>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2"/>
        <w:gridCol w:w="5147"/>
      </w:tblGrid>
      <w:tr w:rsidR="0079779A" w14:paraId="5296C985" w14:textId="77777777">
        <w:tc>
          <w:tcPr>
            <w:tcW w:w="3913" w:type="dxa"/>
            <w:tcBorders>
              <w:bottom w:val="double" w:color="auto" w:sz="4" w:space="0"/>
            </w:tcBorders>
          </w:tcPr>
          <w:p w:rsidR="0079779A" w:rsidRDefault="003E5439" w14:paraId="371501C8" w14:textId="77777777">
            <w:pPr>
              <w:widowControl w:val="0"/>
              <w:spacing w:before="40" w:after="40"/>
              <w:rPr>
                <w:rFonts w:cs="Arial"/>
                <w:b/>
                <w:bCs/>
              </w:rPr>
            </w:pPr>
            <w:r>
              <w:rPr>
                <w:rFonts w:cs="Arial"/>
              </w:rPr>
              <w:br w:type="page"/>
            </w:r>
            <w:r>
              <w:rPr>
                <w:rFonts w:cs="Arial"/>
                <w:b/>
                <w:bCs/>
              </w:rPr>
              <w:t>Type of Insurance</w:t>
            </w:r>
          </w:p>
        </w:tc>
        <w:tc>
          <w:tcPr>
            <w:tcW w:w="5285" w:type="dxa"/>
            <w:tcBorders>
              <w:bottom w:val="double" w:color="auto" w:sz="4" w:space="0"/>
            </w:tcBorders>
          </w:tcPr>
          <w:p w:rsidR="0079779A" w:rsidRDefault="003E5439" w14:paraId="3BF21EDD" w14:textId="77777777">
            <w:pPr>
              <w:widowControl w:val="0"/>
              <w:spacing w:before="40" w:after="40"/>
              <w:rPr>
                <w:rFonts w:cs="Arial"/>
                <w:b/>
                <w:bCs/>
              </w:rPr>
            </w:pPr>
            <w:r>
              <w:rPr>
                <w:rFonts w:cs="Arial"/>
                <w:b/>
                <w:bCs/>
              </w:rPr>
              <w:t>Minimum Limits of Coverage</w:t>
            </w:r>
          </w:p>
        </w:tc>
      </w:tr>
      <w:tr w:rsidR="0079779A" w14:paraId="5A0E6A9D" w14:textId="77777777">
        <w:trPr>
          <w:trHeight w:val="206"/>
        </w:trPr>
        <w:tc>
          <w:tcPr>
            <w:tcW w:w="3913" w:type="dxa"/>
            <w:tcBorders>
              <w:top w:val="double" w:color="auto" w:sz="4" w:space="0"/>
              <w:left w:val="nil"/>
              <w:bottom w:val="single" w:color="auto" w:sz="4" w:space="0"/>
              <w:right w:val="nil"/>
            </w:tcBorders>
          </w:tcPr>
          <w:p w:rsidR="0079779A" w:rsidRDefault="0079779A" w14:paraId="7DBDC6DC" w14:textId="77777777">
            <w:pPr>
              <w:widowControl w:val="0"/>
              <w:spacing w:before="40" w:after="40"/>
              <w:rPr>
                <w:rFonts w:cs="Arial"/>
              </w:rPr>
            </w:pPr>
          </w:p>
        </w:tc>
        <w:tc>
          <w:tcPr>
            <w:tcW w:w="5285" w:type="dxa"/>
            <w:tcBorders>
              <w:top w:val="double" w:color="auto" w:sz="4" w:space="0"/>
              <w:left w:val="nil"/>
              <w:bottom w:val="single" w:color="auto" w:sz="4" w:space="0"/>
              <w:right w:val="nil"/>
            </w:tcBorders>
          </w:tcPr>
          <w:p w:rsidR="0079779A" w:rsidRDefault="0079779A" w14:paraId="7482D410" w14:textId="77777777">
            <w:pPr>
              <w:widowControl w:val="0"/>
              <w:spacing w:before="40" w:after="40"/>
              <w:rPr>
                <w:rFonts w:cs="Arial"/>
                <w:b/>
                <w:bCs/>
              </w:rPr>
            </w:pPr>
          </w:p>
        </w:tc>
      </w:tr>
      <w:tr w:rsidR="0079779A" w14:paraId="753D5957" w14:textId="77777777">
        <w:tc>
          <w:tcPr>
            <w:tcW w:w="3913" w:type="dxa"/>
            <w:tcBorders>
              <w:top w:val="single" w:color="auto" w:sz="4" w:space="0"/>
            </w:tcBorders>
          </w:tcPr>
          <w:p w:rsidR="0079779A" w:rsidRDefault="003E5439" w14:paraId="761CEC2A" w14:textId="77777777">
            <w:pPr>
              <w:widowControl w:val="0"/>
              <w:spacing w:before="40" w:after="40"/>
              <w:rPr>
                <w:rFonts w:cs="Arial"/>
              </w:rPr>
            </w:pPr>
            <w:r>
              <w:rPr>
                <w:rFonts w:cs="Arial"/>
              </w:rPr>
              <w:t>Employers Liability</w:t>
            </w:r>
          </w:p>
        </w:tc>
        <w:tc>
          <w:tcPr>
            <w:tcW w:w="5285" w:type="dxa"/>
            <w:tcBorders>
              <w:top w:val="single" w:color="auto" w:sz="4" w:space="0"/>
            </w:tcBorders>
          </w:tcPr>
          <w:p w:rsidR="0079779A" w:rsidRDefault="003E5439" w14:paraId="4E9CED03" w14:textId="77777777">
            <w:pPr>
              <w:widowControl w:val="0"/>
              <w:spacing w:before="40" w:after="40"/>
              <w:jc w:val="both"/>
              <w:rPr>
                <w:rFonts w:cs="Arial"/>
              </w:rPr>
            </w:pPr>
            <w:r>
              <w:rPr>
                <w:rFonts w:cs="Arial"/>
              </w:rPr>
              <w:t>$2,000,000 each accident for bodily injury by accident, or $2,000,000 each employee for bodily injury by disease.</w:t>
            </w:r>
          </w:p>
        </w:tc>
      </w:tr>
    </w:tbl>
    <w:p w:rsidR="0079779A" w:rsidRDefault="0079779A" w14:paraId="4D9942DC" w14:textId="77777777">
      <w:pPr>
        <w:widowControl w:val="0"/>
        <w:tabs>
          <w:tab w:val="left" w:pos="-1440"/>
        </w:tabs>
        <w:rPr>
          <w:rFonts w:cs="Arial"/>
        </w:rPr>
      </w:pPr>
    </w:p>
    <w:p w:rsidR="0079779A" w:rsidRDefault="0079779A" w14:paraId="0BA6CD43" w14:textId="77777777">
      <w:pPr>
        <w:widowControl w:val="0"/>
        <w:tabs>
          <w:tab w:val="left" w:pos="-1440"/>
        </w:tabs>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09"/>
        <w:gridCol w:w="5160"/>
      </w:tblGrid>
      <w:tr w:rsidR="0079779A" w14:paraId="374ED277" w14:textId="77777777">
        <w:tc>
          <w:tcPr>
            <w:tcW w:w="3978" w:type="dxa"/>
          </w:tcPr>
          <w:p w:rsidR="0079779A" w:rsidRDefault="003E5439" w14:paraId="191D46EE" w14:textId="77777777">
            <w:pPr>
              <w:widowControl w:val="0"/>
              <w:spacing w:before="40" w:after="40"/>
              <w:rPr>
                <w:rFonts w:cs="Arial"/>
              </w:rPr>
            </w:pPr>
            <w:r>
              <w:rPr>
                <w:rFonts w:cs="Arial"/>
              </w:rPr>
              <w:t>Builder’s Risk</w:t>
            </w:r>
          </w:p>
        </w:tc>
        <w:tc>
          <w:tcPr>
            <w:tcW w:w="5382" w:type="dxa"/>
          </w:tcPr>
          <w:p w:rsidR="0079779A" w:rsidRDefault="003E5439" w14:paraId="1336C5CC" w14:textId="77777777">
            <w:pPr>
              <w:widowControl w:val="0"/>
              <w:spacing w:before="40" w:after="40"/>
              <w:rPr>
                <w:rFonts w:cs="Arial"/>
              </w:rPr>
            </w:pPr>
            <w:r>
              <w:rPr>
                <w:rFonts w:cs="Arial"/>
              </w:rPr>
              <w:t>Replacement value of the Facility.</w:t>
            </w:r>
          </w:p>
        </w:tc>
      </w:tr>
    </w:tbl>
    <w:p w:rsidR="0079779A" w:rsidRDefault="003E5439" w14:paraId="65ECF146" w14:textId="77777777">
      <w:pPr>
        <w:pStyle w:val="BodyText11"/>
        <w:spacing w:before="60" w:after="440"/>
        <w:ind w:left="90"/>
        <w:rPr>
          <w:rFonts w:cs="Arial"/>
          <w:sz w:val="24"/>
          <w:szCs w:val="24"/>
        </w:rPr>
      </w:pPr>
      <w:r>
        <w:rPr>
          <w:rFonts w:cs="Arial"/>
          <w:sz w:val="24"/>
          <w:szCs w:val="24"/>
        </w:rPr>
        <w:t>Builder’s Risk insurance, or an installation floater, shall include coverage for earthquake and flood, collapse, faulty workmanship, materials and design, testing of machinery or equipment, freezing or changes in temperature, debris removal, and partial occupancy.</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36"/>
        <w:gridCol w:w="5133"/>
      </w:tblGrid>
      <w:tr w:rsidR="0079779A" w14:paraId="413993DD" w14:textId="77777777">
        <w:tc>
          <w:tcPr>
            <w:tcW w:w="3978" w:type="dxa"/>
          </w:tcPr>
          <w:p w:rsidR="0079779A" w:rsidRDefault="003E5439" w14:paraId="4DF106A9" w14:textId="77777777">
            <w:pPr>
              <w:widowControl w:val="0"/>
              <w:spacing w:before="40" w:after="40"/>
              <w:rPr>
                <w:rFonts w:cs="Arial"/>
              </w:rPr>
            </w:pPr>
            <w:r>
              <w:rPr>
                <w:rFonts w:cs="Arial"/>
              </w:rPr>
              <w:t>Environmental Impairment Liability</w:t>
            </w:r>
          </w:p>
        </w:tc>
        <w:tc>
          <w:tcPr>
            <w:tcW w:w="5382" w:type="dxa"/>
          </w:tcPr>
          <w:p w:rsidR="0079779A" w:rsidRDefault="003E5439" w14:paraId="32996161" w14:textId="77777777">
            <w:pPr>
              <w:widowControl w:val="0"/>
              <w:spacing w:before="40" w:after="40"/>
              <w:rPr>
                <w:rFonts w:cs="Arial"/>
              </w:rPr>
            </w:pPr>
            <w:r>
              <w:rPr>
                <w:rFonts w:cs="Arial"/>
              </w:rPr>
              <w:t>$5,000,000 each occurrence.</w:t>
            </w:r>
          </w:p>
        </w:tc>
      </w:tr>
    </w:tbl>
    <w:p w:rsidR="0079779A" w:rsidRDefault="0079779A" w14:paraId="58EA6604" w14:textId="77777777">
      <w:pPr>
        <w:widowControl w:val="0"/>
        <w:rPr>
          <w:rFonts w:cs="Arial"/>
        </w:rPr>
      </w:pPr>
    </w:p>
    <w:p w:rsidR="0079779A" w:rsidRDefault="0079779A" w14:paraId="33589466" w14:textId="77777777">
      <w:pPr>
        <w:widowControl w:val="0"/>
        <w:rPr>
          <w:rFonts w:cs="Arial"/>
        </w:rPr>
      </w:pP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14"/>
        <w:gridCol w:w="5155"/>
      </w:tblGrid>
      <w:tr w:rsidR="0079779A" w14:paraId="59BF3DC5" w14:textId="77777777">
        <w:tc>
          <w:tcPr>
            <w:tcW w:w="3978" w:type="dxa"/>
          </w:tcPr>
          <w:p w:rsidR="0079779A" w:rsidRDefault="003E5439" w14:paraId="6841EAF0" w14:textId="77777777">
            <w:pPr>
              <w:widowControl w:val="0"/>
              <w:spacing w:before="40" w:after="40"/>
              <w:rPr>
                <w:rFonts w:cs="Arial"/>
              </w:rPr>
            </w:pPr>
            <w:r>
              <w:rPr>
                <w:rFonts w:cs="Arial"/>
              </w:rPr>
              <w:t>All-Risk Property insurance covering physical loss or damage to the Facility</w:t>
            </w:r>
          </w:p>
        </w:tc>
        <w:tc>
          <w:tcPr>
            <w:tcW w:w="5382" w:type="dxa"/>
          </w:tcPr>
          <w:p w:rsidR="0079779A" w:rsidRDefault="003E5439" w14:paraId="43DEE9E1" w14:textId="77777777">
            <w:pPr>
              <w:widowControl w:val="0"/>
              <w:spacing w:before="40" w:after="40"/>
              <w:jc w:val="both"/>
              <w:rPr>
                <w:rFonts w:cs="Arial"/>
              </w:rPr>
            </w:pPr>
            <w:r>
              <w:rPr>
                <w:rFonts w:cs="Arial"/>
              </w:rPr>
              <w:t>Full replacement value of the Facility.  A deductible may be carried which deductible shall be the absolute responsibility of Seller.</w:t>
            </w:r>
          </w:p>
        </w:tc>
      </w:tr>
    </w:tbl>
    <w:p w:rsidR="0079779A" w:rsidRDefault="003E5439" w14:paraId="18B19106" w14:textId="77777777">
      <w:pPr>
        <w:pStyle w:val="BodyText11"/>
        <w:spacing w:before="60" w:after="420"/>
        <w:ind w:left="90"/>
        <w:rPr>
          <w:rFonts w:cs="Arial"/>
          <w:sz w:val="24"/>
          <w:szCs w:val="24"/>
        </w:rPr>
      </w:pPr>
      <w:r>
        <w:rPr>
          <w:rFonts w:cs="Arial"/>
          <w:sz w:val="24"/>
          <w:szCs w:val="24"/>
        </w:rPr>
        <w:t xml:space="preserve">All-Risk Property insurance shall include:  (i) coverage for fire, flood, wind and storm, tornado and earthquake with respect to facilities similar in construction, location and occupancy to the Facility, with </w:t>
      </w:r>
      <w:proofErr w:type="spellStart"/>
      <w:r>
        <w:rPr>
          <w:rFonts w:cs="Arial"/>
          <w:sz w:val="24"/>
          <w:szCs w:val="24"/>
        </w:rPr>
        <w:t>sublimits</w:t>
      </w:r>
      <w:proofErr w:type="spellEnd"/>
      <w:r>
        <w:rPr>
          <w:rFonts w:cs="Arial"/>
          <w:sz w:val="24"/>
          <w:szCs w:val="24"/>
        </w:rPr>
        <w:t xml:space="preserve"> of no less than $10,000,000 each for flood and earthquake; and (ii) Boiler and Machinery insurance covering all objects customarily subject to such insurance, including boilers and turbines, in an amount equal to their full replacement value.</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3826"/>
        <w:gridCol w:w="5251"/>
      </w:tblGrid>
      <w:tr w:rsidR="0079779A" w14:paraId="4D362CF3" w14:textId="77777777">
        <w:tc>
          <w:tcPr>
            <w:tcW w:w="3978" w:type="dxa"/>
          </w:tcPr>
          <w:p w:rsidR="0079779A" w:rsidRDefault="003E5439" w14:paraId="6F156094" w14:textId="77777777">
            <w:pPr>
              <w:widowControl w:val="0"/>
              <w:spacing w:before="40" w:after="40"/>
              <w:rPr>
                <w:rFonts w:cs="Arial"/>
              </w:rPr>
            </w:pPr>
            <w:r>
              <w:rPr>
                <w:rFonts w:cs="Arial"/>
              </w:rPr>
              <w:t>Business Interruption insurance</w:t>
            </w:r>
          </w:p>
        </w:tc>
        <w:tc>
          <w:tcPr>
            <w:tcW w:w="5490" w:type="dxa"/>
          </w:tcPr>
          <w:p w:rsidR="0079779A" w:rsidRDefault="003E5439" w14:paraId="2226FFF5" w14:textId="77777777">
            <w:pPr>
              <w:widowControl w:val="0"/>
              <w:spacing w:before="40" w:after="40"/>
              <w:jc w:val="both"/>
              <w:rPr>
                <w:rFonts w:cs="Arial"/>
              </w:rPr>
            </w:pPr>
            <w:r>
              <w:rPr>
                <w:rFonts w:cs="Arial"/>
              </w:rPr>
              <w:t>Amount required to cover Seller’s continuing or increased expenses, resulting from full interruption, for a period of 12 calendar months.</w:t>
            </w:r>
          </w:p>
        </w:tc>
      </w:tr>
    </w:tbl>
    <w:p w:rsidR="0079779A" w:rsidRDefault="003E5439" w14:paraId="3267430A" w14:textId="77777777">
      <w:pPr>
        <w:pStyle w:val="BodyText11"/>
        <w:spacing w:before="60"/>
        <w:rPr>
          <w:rFonts w:cs="Arial"/>
          <w:sz w:val="24"/>
          <w:szCs w:val="24"/>
        </w:rPr>
      </w:pPr>
      <w:r>
        <w:rPr>
          <w:rFonts w:cs="Arial"/>
          <w:sz w:val="24"/>
          <w:szCs w:val="24"/>
        </w:rPr>
        <w:t>Business Interruption insurance shall cover loss of revenues or the increased expense to resume operations attributable to the Facility by reason of total or partial suspension or delay of, or interruption in, the operation of the Facility as a result of an insured peril covered under Property insurance as set forth above, to the extent available on Commercially Reasonable terms as determined by Company, subject to a Commercially Reasonable deductible that shall be the responsibility of Seller.  Notwithstanding any other provision of this PPA, Seller shall not be required to have Business Interruption insurance until the Commercial Operation Date.</w:t>
      </w:r>
    </w:p>
    <w:p w:rsidR="0079779A" w:rsidRDefault="0079779A" w14:paraId="3E83AB87" w14:textId="77777777">
      <w:pPr>
        <w:tabs>
          <w:tab w:val="center" w:pos="4680"/>
          <w:tab w:val="right" w:pos="9360"/>
        </w:tabs>
        <w:spacing w:before="140"/>
        <w:jc w:val="center"/>
        <w:outlineLvl w:val="0"/>
        <w:rPr>
          <w:rFonts w:cs="Arial"/>
        </w:rPr>
        <w:sectPr w:rsidR="0079779A">
          <w:footerReference w:type="default" r:id="rId36"/>
          <w:footerReference w:type="first" r:id="rId37"/>
          <w:pgSz w:w="12240" w:h="15840"/>
          <w:pgMar w:top="1440" w:right="1526" w:bottom="1440" w:left="1627" w:header="720" w:footer="720" w:gutter="0"/>
          <w:pgNumType w:start="1" w:chapStyle="1"/>
          <w:cols w:space="720"/>
          <w:titlePg/>
          <w:docGrid w:linePitch="360"/>
        </w:sectPr>
      </w:pPr>
    </w:p>
    <w:p w:rsidR="0079779A" w:rsidRDefault="003E5439" w14:paraId="5C582C2A" w14:textId="77777777">
      <w:pPr>
        <w:tabs>
          <w:tab w:val="center" w:pos="4680"/>
          <w:tab w:val="right" w:pos="9360"/>
        </w:tabs>
        <w:spacing w:after="120"/>
        <w:jc w:val="center"/>
        <w:outlineLvl w:val="0"/>
        <w:rPr>
          <w:rFonts w:cs="Arial"/>
          <w:b/>
        </w:rPr>
      </w:pPr>
      <w:bookmarkStart w:name="_Toc433954237" w:id="587"/>
      <w:r>
        <w:rPr>
          <w:rFonts w:cs="Arial"/>
          <w:b/>
        </w:rPr>
        <w:lastRenderedPageBreak/>
        <w:t>EXHIBIT F</w:t>
      </w:r>
      <w:bookmarkEnd w:id="587"/>
    </w:p>
    <w:p w:rsidR="0079779A" w:rsidRDefault="003E5439" w14:paraId="3DA32418" w14:textId="77777777">
      <w:pPr>
        <w:tabs>
          <w:tab w:val="center" w:pos="4680"/>
          <w:tab w:val="right" w:pos="9360"/>
        </w:tabs>
        <w:spacing w:after="120"/>
        <w:jc w:val="center"/>
        <w:outlineLvl w:val="0"/>
        <w:rPr>
          <w:rFonts w:cs="Arial"/>
          <w:b/>
        </w:rPr>
      </w:pPr>
      <w:bookmarkStart w:name="_Toc433954238" w:id="588"/>
      <w:r>
        <w:rPr>
          <w:rFonts w:cs="Arial"/>
          <w:b/>
        </w:rPr>
        <w:t>SELLER’S NEEDED PERMITS</w:t>
      </w:r>
      <w:bookmarkEnd w:id="588"/>
      <w:r>
        <w:rPr>
          <w:rFonts w:cs="Arial"/>
          <w:b/>
        </w:rPr>
        <w:fldChar w:fldCharType="begin"/>
      </w:r>
      <w:r>
        <w:rPr>
          <w:rFonts w:cs="Arial"/>
        </w:rPr>
        <w:instrText xml:space="preserve"> TC \l "1"</w:instrText>
      </w:r>
      <w:r>
        <w:rPr>
          <w:rFonts w:cs="Arial"/>
          <w:b/>
        </w:rPr>
        <w:fldChar w:fldCharType="end"/>
      </w:r>
    </w:p>
    <w:p w:rsidR="0079779A" w:rsidRDefault="0079779A" w14:paraId="36AC8895" w14:textId="77777777">
      <w:pPr>
        <w:jc w:val="center"/>
        <w:rPr>
          <w:rFonts w:cs="Arial"/>
          <w:b/>
        </w:rPr>
      </w:pPr>
    </w:p>
    <w:p w:rsidR="0079779A" w:rsidRDefault="0079779A" w14:paraId="14008A22" w14:textId="77777777">
      <w:pPr>
        <w:jc w:val="center"/>
        <w:rPr>
          <w:rFonts w:cs="Arial"/>
          <w:b/>
        </w:rPr>
      </w:pPr>
    </w:p>
    <w:p w:rsidR="0079779A" w:rsidRDefault="003E5439" w14:paraId="73BFF132" w14:textId="77777777">
      <w:pPr>
        <w:rPr>
          <w:rFonts w:cs="Arial"/>
        </w:rPr>
      </w:pPr>
      <w:r>
        <w:rPr>
          <w:rFonts w:cs="Arial"/>
        </w:rPr>
        <w:t>Bid Specific</w:t>
      </w:r>
    </w:p>
    <w:p w:rsidR="0079779A" w:rsidRDefault="0079779A" w14:paraId="259509DF" w14:textId="77777777">
      <w:pPr>
        <w:rPr>
          <w:rFonts w:cs="Arial"/>
        </w:rPr>
      </w:pPr>
    </w:p>
    <w:p w:rsidR="0079779A" w:rsidRDefault="0079779A" w14:paraId="61A8697B" w14:textId="77777777">
      <w:pPr>
        <w:rPr>
          <w:rFonts w:cs="Arial"/>
        </w:rPr>
        <w:sectPr w:rsidR="0079779A">
          <w:footerReference w:type="first" r:id="rId38"/>
          <w:pgSz w:w="12240" w:h="15840"/>
          <w:pgMar w:top="1440" w:right="1800" w:bottom="1440" w:left="1800" w:header="720" w:footer="720" w:gutter="0"/>
          <w:pgNumType w:start="1" w:chapStyle="1"/>
          <w:cols w:space="720"/>
          <w:titlePg/>
          <w:docGrid w:linePitch="360"/>
        </w:sectPr>
      </w:pPr>
    </w:p>
    <w:p w:rsidR="0079779A" w:rsidRDefault="003E5439" w14:paraId="14E379BD" w14:textId="77777777">
      <w:pPr>
        <w:pStyle w:val="TitleArial12"/>
        <w:spacing w:after="120"/>
        <w:rPr>
          <w:szCs w:val="24"/>
        </w:rPr>
      </w:pPr>
      <w:r>
        <w:rPr>
          <w:szCs w:val="24"/>
        </w:rPr>
        <w:lastRenderedPageBreak/>
        <w:t>EXHIBIT G</w:t>
      </w:r>
    </w:p>
    <w:p w:rsidR="0079779A" w:rsidRDefault="003E5439" w14:paraId="75C20A45" w14:textId="77777777">
      <w:pPr>
        <w:pStyle w:val="TitleArial12"/>
        <w:spacing w:after="120"/>
        <w:rPr>
          <w:szCs w:val="24"/>
        </w:rPr>
      </w:pPr>
      <w:r>
        <w:rPr>
          <w:szCs w:val="24"/>
        </w:rPr>
        <w:t>FORM OF LETTER OF CREDIT</w:t>
      </w:r>
      <w:r>
        <w:rPr>
          <w:szCs w:val="24"/>
        </w:rPr>
        <w:fldChar w:fldCharType="begin"/>
      </w:r>
      <w:r>
        <w:rPr>
          <w:szCs w:val="24"/>
        </w:rPr>
        <w:instrText xml:space="preserve"> TC \l "1"</w:instrText>
      </w:r>
      <w:r>
        <w:rPr>
          <w:szCs w:val="24"/>
        </w:rPr>
        <w:fldChar w:fldCharType="end"/>
      </w:r>
    </w:p>
    <w:p w:rsidR="0079779A" w:rsidRDefault="0079779A" w14:paraId="3010E544" w14:textId="77777777">
      <w:pPr>
        <w:pStyle w:val="TitleArial12"/>
        <w:rPr>
          <w:szCs w:val="24"/>
        </w:rPr>
      </w:pPr>
    </w:p>
    <w:p w:rsidR="0079779A" w:rsidRDefault="003E5439" w14:paraId="13382045" w14:textId="77777777">
      <w:pPr>
        <w:keepNext/>
        <w:spacing w:after="240"/>
        <w:jc w:val="center"/>
        <w:rPr>
          <w:rFonts w:cs="Arial"/>
          <w:bCs/>
        </w:rPr>
      </w:pPr>
      <w:r>
        <w:rPr>
          <w:rFonts w:cs="Arial"/>
          <w:bCs/>
        </w:rPr>
        <w:t>[LETTERHEAD OF ISSUING BANK]</w:t>
      </w:r>
    </w:p>
    <w:tbl>
      <w:tblPr>
        <w:tblW w:w="0" w:type="auto"/>
        <w:tblLook w:val="01E0" w:firstRow="1" w:lastRow="1" w:firstColumn="1" w:lastColumn="1" w:noHBand="0" w:noVBand="0"/>
      </w:tblPr>
      <w:tblGrid>
        <w:gridCol w:w="4428"/>
        <w:gridCol w:w="4428"/>
      </w:tblGrid>
      <w:tr w:rsidR="0079779A" w14:paraId="1CB7D286" w14:textId="77777777">
        <w:tc>
          <w:tcPr>
            <w:tcW w:w="4428" w:type="dxa"/>
          </w:tcPr>
          <w:p w:rsidR="0079779A" w:rsidRDefault="003E5439" w14:paraId="6B3AC43E" w14:textId="77777777">
            <w:pPr>
              <w:rPr>
                <w:rFonts w:cs="Arial"/>
              </w:rPr>
            </w:pPr>
            <w:r>
              <w:rPr>
                <w:rFonts w:cs="Arial"/>
              </w:rPr>
              <w:t xml:space="preserve">Irrevocable Standby Letter of </w:t>
            </w:r>
            <w:proofErr w:type="gramStart"/>
            <w:r>
              <w:rPr>
                <w:rFonts w:cs="Arial"/>
              </w:rPr>
              <w:t>Credit  No</w:t>
            </w:r>
            <w:proofErr w:type="gramEnd"/>
            <w:r>
              <w:rPr>
                <w:rFonts w:cs="Arial"/>
              </w:rPr>
              <w:t>: _______</w:t>
            </w:r>
          </w:p>
          <w:p w:rsidR="0079779A" w:rsidRDefault="0079779A" w14:paraId="48875BCF" w14:textId="77777777">
            <w:pPr>
              <w:rPr>
                <w:rFonts w:cs="Arial"/>
              </w:rPr>
            </w:pPr>
          </w:p>
          <w:p w:rsidR="0079779A" w:rsidRDefault="003E5439" w14:paraId="0BD9F396" w14:textId="77777777">
            <w:pPr>
              <w:rPr>
                <w:rFonts w:cs="Arial"/>
              </w:rPr>
            </w:pPr>
            <w:r>
              <w:rPr>
                <w:rFonts w:cs="Arial"/>
              </w:rPr>
              <w:t>Beneficiary:  Public Service Company of Colorado</w:t>
            </w:r>
          </w:p>
        </w:tc>
        <w:tc>
          <w:tcPr>
            <w:tcW w:w="4428" w:type="dxa"/>
          </w:tcPr>
          <w:p w:rsidR="0079779A" w:rsidRDefault="003E5439" w14:paraId="43627DBC" w14:textId="77777777">
            <w:pPr>
              <w:rPr>
                <w:rFonts w:cs="Arial"/>
              </w:rPr>
            </w:pPr>
            <w:r>
              <w:rPr>
                <w:rFonts w:cs="Arial"/>
              </w:rPr>
              <w:t>Date of Issuance: _________________</w:t>
            </w:r>
          </w:p>
          <w:p w:rsidR="0079779A" w:rsidRDefault="0079779A" w14:paraId="347E70A3" w14:textId="77777777">
            <w:pPr>
              <w:rPr>
                <w:rFonts w:cs="Arial"/>
              </w:rPr>
            </w:pPr>
          </w:p>
          <w:p w:rsidR="0079779A" w:rsidRDefault="003E5439" w14:paraId="71B3E0CC" w14:textId="77777777">
            <w:pPr>
              <w:rPr>
                <w:rFonts w:cs="Arial"/>
              </w:rPr>
            </w:pPr>
            <w:r>
              <w:rPr>
                <w:rFonts w:cs="Arial"/>
              </w:rPr>
              <w:t>Initial Expiration Date: [</w:t>
            </w:r>
            <w:r>
              <w:rPr>
                <w:rFonts w:cs="Arial"/>
                <w:u w:val="single"/>
              </w:rPr>
              <w:t>Must be at least one year after date of issuance</w:t>
            </w:r>
            <w:r>
              <w:rPr>
                <w:rFonts w:cs="Arial"/>
              </w:rPr>
              <w:t>]</w:t>
            </w:r>
          </w:p>
          <w:p w:rsidR="0079779A" w:rsidRDefault="0079779A" w14:paraId="1CC3EC2C" w14:textId="77777777">
            <w:pPr>
              <w:rPr>
                <w:rFonts w:cs="Arial"/>
              </w:rPr>
            </w:pPr>
          </w:p>
          <w:p w:rsidR="0079779A" w:rsidRDefault="003E5439" w14:paraId="2348036B" w14:textId="77777777">
            <w:pPr>
              <w:rPr>
                <w:rFonts w:cs="Arial"/>
              </w:rPr>
            </w:pPr>
            <w:r>
              <w:rPr>
                <w:rFonts w:cs="Arial"/>
              </w:rPr>
              <w:t>Applicant:</w:t>
            </w:r>
          </w:p>
        </w:tc>
      </w:tr>
    </w:tbl>
    <w:p w:rsidR="0079779A" w:rsidRDefault="0079779A" w14:paraId="5314306D" w14:textId="77777777">
      <w:pPr>
        <w:rPr>
          <w:rFonts w:cs="Arial"/>
        </w:rPr>
      </w:pPr>
    </w:p>
    <w:p w:rsidR="0079779A" w:rsidRDefault="003E5439" w14:paraId="4892A5F5" w14:textId="77777777">
      <w:pPr>
        <w:spacing w:after="180"/>
        <w:jc w:val="both"/>
        <w:rPr>
          <w:rFonts w:cs="Arial"/>
        </w:rPr>
      </w:pPr>
      <w:r>
        <w:rPr>
          <w:rFonts w:cs="Arial"/>
        </w:rPr>
        <w:t>As the Issuing Bank (“Issuer”), we, [Name of Issuing Bank], hereby establish this irrevocable Standby Letter of Credit No. _____ (this "Letter of Credit") in favor of the above-named beneficiary (“Beneficiary”) for the account of the above-named applicant (“Applicant”) in the amount of US$__________ (_________________ Million U.S. Dollars).</w:t>
      </w:r>
    </w:p>
    <w:p w:rsidR="0079779A" w:rsidRDefault="003E5439" w14:paraId="3CF5721C" w14:textId="77777777">
      <w:pPr>
        <w:spacing w:after="180"/>
        <w:jc w:val="both"/>
        <w:rPr>
          <w:rFonts w:cs="Arial"/>
        </w:rPr>
      </w:pPr>
      <w:r>
        <w:rPr>
          <w:rFonts w:cs="Arial"/>
        </w:rPr>
        <w:t xml:space="preserve">Beneficiary may draw all or any portion of this Letter of Credit at any time and from time to time, and Issuer will make funds immediately available to Beneficiary upon presentation of Beneficiary’s draft(s) at sight in substantially the form attached hereto as Exhibit “A” (“Sight Draft”), drawn on Issuer and accompanied by this Letter of Credit.  All Sight Drafts must be signed on behalf of Beneficiary, and the </w:t>
      </w:r>
      <w:proofErr w:type="spellStart"/>
      <w:r>
        <w:rPr>
          <w:rFonts w:cs="Arial"/>
        </w:rPr>
        <w:t>signator</w:t>
      </w:r>
      <w:proofErr w:type="spellEnd"/>
      <w:r>
        <w:rPr>
          <w:rFonts w:cs="Arial"/>
        </w:rPr>
        <w:t xml:space="preserve"> must indicate his or her title or other official capacity.  No other documents will be required to be presented.  Issuer will </w:t>
      </w:r>
      <w:proofErr w:type="gramStart"/>
      <w:r>
        <w:rPr>
          <w:rFonts w:cs="Arial"/>
        </w:rPr>
        <w:t>effect</w:t>
      </w:r>
      <w:proofErr w:type="gramEnd"/>
      <w:r>
        <w:rPr>
          <w:rFonts w:cs="Arial"/>
        </w:rPr>
        <w:t xml:space="preserve"> payment under this Letter of Credit within twenty-four (24) hours after presentment of any Sight Draft.  Payment shall be made in U.S. Dollars with Issuer’s own funds in immediately available funds.</w:t>
      </w:r>
    </w:p>
    <w:p w:rsidR="0079779A" w:rsidRDefault="003E5439" w14:paraId="2F27684D" w14:textId="77777777">
      <w:pPr>
        <w:spacing w:after="180"/>
        <w:jc w:val="both"/>
        <w:rPr>
          <w:rFonts w:cs="Arial"/>
        </w:rPr>
      </w:pPr>
      <w:r>
        <w:rPr>
          <w:rFonts w:cs="Arial"/>
        </w:rPr>
        <w:t>Issuer will honor any Sight Draft presented in substantial compliance with the terms of this Letter of Credit at the Issuer’s letterhead office, the office located at ______________________ or any other full service office of the Issuer on or before the above-stated expiration date, as such expiration date may be extended hereunder.  Partial and multiple draws and presentations are permitted on any number of occasions.  Following any partial draw, Issuer will endorse this Letter of Credit and return the original to Beneficiary.</w:t>
      </w:r>
    </w:p>
    <w:p w:rsidR="0079779A" w:rsidRDefault="003E5439" w14:paraId="15D91A6E" w14:textId="77777777">
      <w:pPr>
        <w:spacing w:after="180"/>
        <w:jc w:val="both"/>
        <w:rPr>
          <w:rFonts w:cs="Arial"/>
        </w:rPr>
      </w:pPr>
      <w:r>
        <w:rPr>
          <w:rFonts w:cs="Arial"/>
        </w:rPr>
        <w:t xml:space="preserve">This Letter of Credit is issued pursuant to the provisions of that certain Battery Storage Energy Purchase Agreement between Beneficiary and Applicant dated as of _______________, 20__ (as the same may have been or may be amended from time to time, the “PPA”).  Notwithstanding any reference in this Letter of Credit to the PPA or any other documents, instruments or agreements, or references in the PPA or any other documents, instruments or agreements to this Letter of Credit, this Letter of Credit contains the entire agreement between Beneficiary and Issuer relating to the obligations of Issuer hereunder.  </w:t>
      </w:r>
    </w:p>
    <w:p w:rsidR="0079779A" w:rsidRDefault="003E5439" w14:paraId="44D7BA3D" w14:textId="77777777">
      <w:pPr>
        <w:spacing w:after="180"/>
        <w:jc w:val="both"/>
        <w:rPr>
          <w:rFonts w:cs="Arial"/>
        </w:rPr>
      </w:pPr>
      <w:r>
        <w:rPr>
          <w:rFonts w:cs="Arial"/>
        </w:rPr>
        <w:t xml:space="preserve">This Letter of Credit will be automatically extended each year without amendment for a period of one (1) year from the expiration date hereof, as extended, unless at least thirty </w:t>
      </w:r>
      <w:r>
        <w:rPr>
          <w:rFonts w:cs="Arial"/>
        </w:rPr>
        <w:lastRenderedPageBreak/>
        <w:t>(30) days prior to the expiration date, Issuer notifies Beneficiary by registered mail that it elects not to extend this Letter of Credit for such additional period.  Notice of non-extension will be given by Issuer to Beneficiary at Beneficiary’s address set forth herein or at such other address as Beneficiary may designate to Issuer in writing at Issuer’s letterhead address.</w:t>
      </w:r>
    </w:p>
    <w:p w:rsidR="0079779A" w:rsidRDefault="003E5439" w14:paraId="23108C8E" w14:textId="77777777">
      <w:pPr>
        <w:spacing w:after="180"/>
        <w:jc w:val="both"/>
        <w:rPr>
          <w:rFonts w:cs="Arial"/>
        </w:rPr>
      </w:pPr>
      <w:r>
        <w:rPr>
          <w:rFonts w:cs="Arial"/>
        </w:rPr>
        <w:t xml:space="preserve">This Letter of Credit is freely transferable by Beneficiary in whole or in part, and the number of transfers is unlimited.  Issuer shall </w:t>
      </w:r>
      <w:proofErr w:type="gramStart"/>
      <w:r>
        <w:rPr>
          <w:rFonts w:cs="Arial"/>
        </w:rPr>
        <w:t>effect</w:t>
      </w:r>
      <w:proofErr w:type="gramEnd"/>
      <w:r>
        <w:rPr>
          <w:rFonts w:cs="Arial"/>
        </w:rPr>
        <w:t xml:space="preserve"> any transfers immediately upon presentation to Issuer of this Letter of Credit and a completed written transfer request substantially in the form attached hereto as Exhibit "B."  Such transfer will be </w:t>
      </w:r>
      <w:proofErr w:type="gramStart"/>
      <w:r>
        <w:rPr>
          <w:rFonts w:cs="Arial"/>
        </w:rPr>
        <w:t>effected</w:t>
      </w:r>
      <w:proofErr w:type="gramEnd"/>
      <w:r>
        <w:rPr>
          <w:rFonts w:cs="Arial"/>
        </w:rPr>
        <w:t xml:space="preserve"> at no cost to Beneficiary.  Any transfer fees assessed by Issuer will be payable solely by Applicant, and the payment of any transfer fees will not be a condition to the validity or effectiveness of the transfer of this Letter of Credit.</w:t>
      </w:r>
    </w:p>
    <w:p w:rsidR="0079779A" w:rsidRDefault="003E5439" w14:paraId="4CECE79F" w14:textId="77777777">
      <w:pPr>
        <w:pStyle w:val="PlainText"/>
        <w:spacing w:after="180"/>
        <w:jc w:val="both"/>
        <w:rPr>
          <w:rFonts w:ascii="Arial" w:hAnsi="Arial" w:cs="Arial"/>
          <w:sz w:val="24"/>
          <w:szCs w:val="24"/>
        </w:rPr>
      </w:pPr>
      <w:r>
        <w:rPr>
          <w:rFonts w:ascii="Arial" w:hAnsi="Arial" w:cs="Arial"/>
          <w:sz w:val="24"/>
          <w:szCs w:val="24"/>
        </w:rPr>
        <w:t>Issuer waives any rights it may have, at law or otherwise, to subrogate to any claims which Beneficiary may have against Applicant or Applicant may have against Beneficiary.</w:t>
      </w:r>
    </w:p>
    <w:p w:rsidR="0079779A" w:rsidRDefault="003E5439" w14:paraId="377E95E7" w14:textId="77777777">
      <w:pPr>
        <w:spacing w:after="180"/>
        <w:jc w:val="both"/>
        <w:rPr>
          <w:rFonts w:cs="Arial"/>
        </w:rPr>
      </w:pPr>
      <w:r>
        <w:rPr>
          <w:rFonts w:cs="Arial"/>
        </w:rPr>
        <w:t>This Letter of Credit is subject to the uniform customs and practice for documentary credits (2007 Revision), International Chamber of Commerce publication No. 600 (the “UCP”), except to the extent that the terms hereof are inconsistent with the provisions of the UCP, including but not limited to Articles 14(b) and 36 of the UCP, in which case the terms of this Letter of Credit shall govern.  With respect to Article 14(b) of the UCP, Issuer shall have a reasonable amount of time, not to exceed three (3) banking days following the date of Issuer’s receipt of documents from Beneficiary (to the extent required herein), to examine the documents and determine whether to take up or refuse the documents and to inform Beneficiary accordingly.</w:t>
      </w:r>
    </w:p>
    <w:p w:rsidR="0079779A" w:rsidRDefault="003E5439" w14:paraId="0E49A247" w14:textId="77777777">
      <w:pPr>
        <w:spacing w:after="180"/>
        <w:jc w:val="both"/>
        <w:rPr>
          <w:rFonts w:cs="Arial"/>
        </w:rPr>
      </w:pPr>
      <w:r>
        <w:rPr>
          <w:rFonts w:cs="Arial"/>
        </w:rPr>
        <w:t xml:space="preserve">In the event of an act of God, riot, civil commotion, insurrection, </w:t>
      </w:r>
      <w:proofErr w:type="gramStart"/>
      <w:r>
        <w:rPr>
          <w:rFonts w:cs="Arial"/>
        </w:rPr>
        <w:t>war</w:t>
      </w:r>
      <w:proofErr w:type="gramEnd"/>
      <w:r>
        <w:rPr>
          <w:rFonts w:cs="Arial"/>
        </w:rPr>
        <w:t xml:space="preserve"> or any other cause beyond Issuer’s control that interrupts Issuer’s business and causes the place for presentation of this Letter of Credit to be closed for business on the last day for presentation, the expiry date of this Letter of Credit will be automatically extended without amendment to a date thirty (30) calendar days after the place for presentation reopens for business.</w:t>
      </w:r>
    </w:p>
    <w:tbl>
      <w:tblPr>
        <w:tblW w:w="0" w:type="auto"/>
        <w:tblInd w:w="4428" w:type="dxa"/>
        <w:tblBorders>
          <w:insideV w:val="single" w:color="auto" w:sz="4" w:space="0"/>
        </w:tblBorders>
        <w:tblLook w:val="01E0" w:firstRow="1" w:lastRow="1" w:firstColumn="1" w:lastColumn="1" w:noHBand="0" w:noVBand="0"/>
      </w:tblPr>
      <w:tblGrid>
        <w:gridCol w:w="4428"/>
      </w:tblGrid>
      <w:tr w:rsidR="0079779A" w14:paraId="5B113F4F" w14:textId="77777777">
        <w:tc>
          <w:tcPr>
            <w:tcW w:w="4428" w:type="dxa"/>
          </w:tcPr>
          <w:p w:rsidR="0079779A" w:rsidRDefault="003E5439" w14:paraId="39E32BBA" w14:textId="77777777">
            <w:pPr>
              <w:rPr>
                <w:rFonts w:cs="Arial"/>
              </w:rPr>
            </w:pPr>
            <w:r>
              <w:rPr>
                <w:rFonts w:cs="Arial"/>
              </w:rPr>
              <w:t>ISSUER:</w:t>
            </w:r>
          </w:p>
        </w:tc>
      </w:tr>
      <w:tr w:rsidR="0079779A" w14:paraId="6135E6CE" w14:textId="77777777">
        <w:tc>
          <w:tcPr>
            <w:tcW w:w="4428" w:type="dxa"/>
          </w:tcPr>
          <w:p w:rsidR="0079779A" w:rsidRDefault="0079779A" w14:paraId="3FB69124" w14:textId="77777777">
            <w:pPr>
              <w:jc w:val="center"/>
              <w:rPr>
                <w:rFonts w:cs="Arial"/>
              </w:rPr>
            </w:pPr>
          </w:p>
          <w:p w:rsidR="0079779A" w:rsidRDefault="003E5439" w14:paraId="59EAEAF1" w14:textId="77777777">
            <w:pPr>
              <w:rPr>
                <w:rFonts w:cs="Arial"/>
              </w:rPr>
            </w:pPr>
            <w:r>
              <w:rPr>
                <w:rFonts w:cs="Arial"/>
              </w:rPr>
              <w:t>By: _____________________</w:t>
            </w:r>
          </w:p>
          <w:p w:rsidR="0079779A" w:rsidRDefault="003E5439" w14:paraId="244409BA" w14:textId="77777777">
            <w:pPr>
              <w:rPr>
                <w:rFonts w:cs="Arial"/>
              </w:rPr>
            </w:pPr>
            <w:r>
              <w:rPr>
                <w:rFonts w:cs="Arial"/>
              </w:rPr>
              <w:t xml:space="preserve">         Authorized Signature</w:t>
            </w:r>
          </w:p>
        </w:tc>
      </w:tr>
    </w:tbl>
    <w:p w:rsidR="0079779A" w:rsidRDefault="003E5439" w14:paraId="6BE45C8D" w14:textId="77777777">
      <w:pPr>
        <w:pageBreakBefore/>
        <w:jc w:val="center"/>
        <w:rPr>
          <w:rFonts w:cs="Arial"/>
          <w:b/>
        </w:rPr>
      </w:pPr>
      <w:r>
        <w:rPr>
          <w:rFonts w:cs="Arial"/>
          <w:b/>
        </w:rPr>
        <w:lastRenderedPageBreak/>
        <w:t>EXHIBIT “A”</w:t>
      </w:r>
    </w:p>
    <w:p w:rsidR="0079779A" w:rsidRDefault="003E5439" w14:paraId="32BF86C2" w14:textId="77777777">
      <w:pPr>
        <w:jc w:val="center"/>
        <w:rPr>
          <w:rFonts w:cs="Arial"/>
        </w:rPr>
      </w:pPr>
      <w:r>
        <w:rPr>
          <w:rFonts w:cs="Arial"/>
        </w:rPr>
        <w:t xml:space="preserve">TO LETTER OF CREDIT </w:t>
      </w:r>
    </w:p>
    <w:p w:rsidR="0079779A" w:rsidRDefault="0079779A" w14:paraId="78A18BED" w14:textId="77777777">
      <w:pPr>
        <w:jc w:val="center"/>
        <w:rPr>
          <w:rFonts w:cs="Arial"/>
          <w:b/>
        </w:rPr>
      </w:pPr>
    </w:p>
    <w:p w:rsidR="0079779A" w:rsidRDefault="003E5439" w14:paraId="6881FFED" w14:textId="77777777">
      <w:pPr>
        <w:jc w:val="center"/>
        <w:rPr>
          <w:rFonts w:cs="Arial"/>
          <w:b/>
        </w:rPr>
      </w:pPr>
      <w:r>
        <w:rPr>
          <w:rFonts w:cs="Arial"/>
          <w:b/>
        </w:rPr>
        <w:t>SIGHT DRAFT</w:t>
      </w:r>
    </w:p>
    <w:p w:rsidR="0079779A" w:rsidRDefault="0079779A" w14:paraId="5E44189D" w14:textId="77777777">
      <w:pPr>
        <w:jc w:val="center"/>
        <w:rPr>
          <w:rFonts w:cs="Arial"/>
          <w:b/>
        </w:rPr>
      </w:pPr>
    </w:p>
    <w:p w:rsidR="0079779A" w:rsidRDefault="0079779A" w14:paraId="75711FFD" w14:textId="77777777">
      <w:pPr>
        <w:jc w:val="center"/>
        <w:rPr>
          <w:rFonts w:cs="Arial"/>
        </w:rPr>
      </w:pPr>
    </w:p>
    <w:p w:rsidR="0079779A" w:rsidRDefault="003E5439" w14:paraId="0FE52EC4" w14:textId="77777777">
      <w:pPr>
        <w:rPr>
          <w:rFonts w:cs="Arial"/>
        </w:rPr>
      </w:pPr>
      <w:r>
        <w:rPr>
          <w:rFonts w:cs="Arial"/>
        </w:rPr>
        <w:t>Draft Number __________________</w:t>
      </w:r>
    </w:p>
    <w:p w:rsidR="0079779A" w:rsidRDefault="003E5439" w14:paraId="663FC06F" w14:textId="77777777">
      <w:pPr>
        <w:rPr>
          <w:rFonts w:cs="Arial"/>
        </w:rPr>
      </w:pPr>
      <w:r>
        <w:rPr>
          <w:rFonts w:cs="Arial"/>
        </w:rPr>
        <w:t>$____________________________</w:t>
      </w:r>
    </w:p>
    <w:p w:rsidR="0079779A" w:rsidRDefault="0079779A" w14:paraId="36C65B1C" w14:textId="77777777">
      <w:pPr>
        <w:rPr>
          <w:rFonts w:cs="Arial"/>
        </w:rPr>
      </w:pPr>
    </w:p>
    <w:p w:rsidR="0079779A" w:rsidRDefault="003E5439" w14:paraId="72A21384" w14:textId="77777777">
      <w:pPr>
        <w:rPr>
          <w:rFonts w:cs="Arial"/>
        </w:rPr>
      </w:pPr>
      <w:r>
        <w:rPr>
          <w:rFonts w:cs="Arial"/>
        </w:rPr>
        <w:tab/>
        <w:t>At sight, pay to the order of [Name of Beneficiary to be inserted], the amount of USD $____________ (__________________ and 00/100ths U.S. Dollars).</w:t>
      </w:r>
    </w:p>
    <w:p w:rsidR="0079779A" w:rsidRDefault="0079779A" w14:paraId="4ED3A0B2" w14:textId="77777777">
      <w:pPr>
        <w:rPr>
          <w:rFonts w:cs="Arial"/>
        </w:rPr>
      </w:pPr>
    </w:p>
    <w:p w:rsidR="0079779A" w:rsidRDefault="003E5439" w14:paraId="27C89C51" w14:textId="77777777">
      <w:pPr>
        <w:rPr>
          <w:rFonts w:cs="Arial"/>
        </w:rPr>
      </w:pPr>
      <w:r>
        <w:rPr>
          <w:rFonts w:cs="Arial"/>
        </w:rPr>
        <w:tab/>
        <w:t xml:space="preserve">Value received and charged to the account of: [Name of Issuer and address].  Drawn under [Name of Issuer to be </w:t>
      </w:r>
      <w:proofErr w:type="gramStart"/>
      <w:r>
        <w:rPr>
          <w:rFonts w:cs="Arial"/>
        </w:rPr>
        <w:t>inserted]  Standby</w:t>
      </w:r>
      <w:proofErr w:type="gramEnd"/>
      <w:r>
        <w:rPr>
          <w:rFonts w:cs="Arial"/>
        </w:rPr>
        <w:t xml:space="preserve"> Letter of Credit No. ______________.</w:t>
      </w:r>
    </w:p>
    <w:p w:rsidR="0079779A" w:rsidRDefault="0079779A" w14:paraId="5621861F" w14:textId="77777777">
      <w:pPr>
        <w:rPr>
          <w:rFonts w:cs="Arial"/>
        </w:rPr>
      </w:pPr>
    </w:p>
    <w:p w:rsidR="0079779A" w:rsidRDefault="003E5439" w14:paraId="5F234407" w14:textId="77777777">
      <w:pPr>
        <w:spacing w:after="360"/>
        <w:ind w:left="720"/>
        <w:rPr>
          <w:rFonts w:cs="Arial"/>
        </w:rPr>
      </w:pPr>
      <w:r>
        <w:rPr>
          <w:rFonts w:cs="Arial"/>
        </w:rPr>
        <w:t xml:space="preserve">Dated: _____________ </w:t>
      </w:r>
      <w:r>
        <w:rPr>
          <w:rFonts w:cs="Arial"/>
        </w:rPr>
        <w:tab/>
      </w:r>
      <w:r>
        <w:rPr>
          <w:rFonts w:cs="Arial"/>
        </w:rPr>
        <w:tab/>
        <w:t>Public Service Company of Colorado</w:t>
      </w:r>
    </w:p>
    <w:p w:rsidR="0079779A" w:rsidRDefault="003E5439" w14:paraId="66F5A88B" w14:textId="77777777">
      <w:pPr>
        <w:ind w:left="720"/>
        <w:rPr>
          <w:rFonts w:cs="Arial"/>
        </w:rPr>
      </w:pPr>
      <w:r>
        <w:rPr>
          <w:rFonts w:cs="Arial"/>
        </w:rPr>
        <w:tab/>
      </w:r>
      <w:r>
        <w:rPr>
          <w:rFonts w:cs="Arial"/>
        </w:rPr>
        <w:tab/>
      </w:r>
      <w:r>
        <w:rPr>
          <w:rFonts w:cs="Arial"/>
        </w:rPr>
        <w:tab/>
      </w:r>
      <w:r>
        <w:rPr>
          <w:rFonts w:cs="Arial"/>
        </w:rPr>
        <w:tab/>
      </w:r>
      <w:r>
        <w:rPr>
          <w:rFonts w:cs="Arial"/>
        </w:rPr>
        <w:tab/>
        <w:t xml:space="preserve">By:  ________________________ </w:t>
      </w:r>
    </w:p>
    <w:p w:rsidR="0079779A" w:rsidRDefault="003E5439" w14:paraId="794FBAD4" w14:textId="77777777">
      <w:pPr>
        <w:ind w:left="720"/>
        <w:rPr>
          <w:rFonts w:cs="Arial"/>
        </w:rPr>
      </w:pPr>
      <w:r>
        <w:rPr>
          <w:rFonts w:cs="Arial"/>
        </w:rPr>
        <w:tab/>
      </w:r>
      <w:r>
        <w:rPr>
          <w:rFonts w:cs="Arial"/>
        </w:rPr>
        <w:tab/>
      </w:r>
      <w:r>
        <w:rPr>
          <w:rFonts w:cs="Arial"/>
        </w:rPr>
        <w:tab/>
      </w:r>
      <w:r>
        <w:rPr>
          <w:rFonts w:cs="Arial"/>
        </w:rPr>
        <w:tab/>
      </w:r>
      <w:r>
        <w:rPr>
          <w:rFonts w:cs="Arial"/>
        </w:rPr>
        <w:tab/>
      </w:r>
      <w:r>
        <w:rPr>
          <w:rFonts w:cs="Arial"/>
        </w:rPr>
        <w:tab/>
        <w:t>[name and title]</w:t>
      </w:r>
    </w:p>
    <w:p w:rsidR="0079779A" w:rsidRDefault="0079779A" w14:paraId="02BF4B29" w14:textId="77777777">
      <w:pPr>
        <w:rPr>
          <w:rFonts w:cs="Arial"/>
        </w:rPr>
      </w:pPr>
    </w:p>
    <w:p w:rsidR="0079779A" w:rsidRDefault="0079779A" w14:paraId="7FB305FC" w14:textId="77777777">
      <w:pPr>
        <w:rPr>
          <w:rFonts w:cs="Arial"/>
        </w:rPr>
      </w:pPr>
    </w:p>
    <w:p w:rsidR="0079779A" w:rsidRDefault="003E5439" w14:paraId="11F98731" w14:textId="77777777">
      <w:pPr>
        <w:rPr>
          <w:rFonts w:cs="Arial"/>
        </w:rPr>
      </w:pPr>
      <w:r>
        <w:rPr>
          <w:rFonts w:cs="Arial"/>
        </w:rPr>
        <w:t xml:space="preserve"> Account:</w:t>
      </w:r>
      <w:proofErr w:type="gramStart"/>
      <w:r>
        <w:rPr>
          <w:rFonts w:cs="Arial"/>
        </w:rPr>
        <w:t xml:space="preserve">   </w:t>
      </w:r>
      <w:r>
        <w:rPr>
          <w:rFonts w:cs="Arial"/>
          <w:u w:val="single"/>
        </w:rPr>
        <w:t>[</w:t>
      </w:r>
      <w:proofErr w:type="gramEnd"/>
      <w:r>
        <w:rPr>
          <w:rFonts w:cs="Arial"/>
          <w:u w:val="single"/>
        </w:rPr>
        <w:t>Applicant to be inserted]</w:t>
      </w:r>
    </w:p>
    <w:p w:rsidR="0079779A" w:rsidRDefault="0079779A" w14:paraId="2CC429E9" w14:textId="77777777">
      <w:pPr>
        <w:rPr>
          <w:rFonts w:cs="Arial"/>
        </w:rPr>
      </w:pPr>
    </w:p>
    <w:p w:rsidR="0079779A" w:rsidRDefault="0079779A" w14:paraId="7C889194" w14:textId="77777777">
      <w:pPr>
        <w:rPr>
          <w:rFonts w:cs="Arial"/>
        </w:rPr>
        <w:sectPr w:rsidR="0079779A">
          <w:footerReference w:type="default" r:id="rId39"/>
          <w:footerReference w:type="first" r:id="rId40"/>
          <w:pgSz w:w="12240" w:h="15840"/>
          <w:pgMar w:top="1440" w:right="1530" w:bottom="1440" w:left="1530" w:header="720" w:footer="720" w:gutter="0"/>
          <w:pgNumType w:start="1"/>
          <w:cols w:space="720"/>
          <w:titlePg/>
          <w:docGrid w:linePitch="360"/>
        </w:sectPr>
      </w:pPr>
    </w:p>
    <w:p w:rsidR="0079779A" w:rsidRDefault="003E5439" w14:paraId="1E45D4FA" w14:textId="77777777">
      <w:pPr>
        <w:jc w:val="center"/>
        <w:rPr>
          <w:rFonts w:cs="Arial"/>
          <w:b/>
        </w:rPr>
      </w:pPr>
      <w:r>
        <w:rPr>
          <w:rFonts w:cs="Arial"/>
          <w:b/>
        </w:rPr>
        <w:lastRenderedPageBreak/>
        <w:t>EXHIBIT “B”</w:t>
      </w:r>
    </w:p>
    <w:p w:rsidR="0079779A" w:rsidRDefault="003E5439" w14:paraId="7808382F" w14:textId="77777777">
      <w:pPr>
        <w:jc w:val="center"/>
        <w:rPr>
          <w:rFonts w:cs="Arial"/>
        </w:rPr>
      </w:pPr>
      <w:r>
        <w:rPr>
          <w:rFonts w:cs="Arial"/>
        </w:rPr>
        <w:t xml:space="preserve">TO LETTER OF CREDIT </w:t>
      </w:r>
    </w:p>
    <w:p w:rsidR="0079779A" w:rsidRDefault="0079779A" w14:paraId="6E605A35" w14:textId="77777777">
      <w:pPr>
        <w:jc w:val="center"/>
        <w:rPr>
          <w:rFonts w:cs="Arial"/>
          <w:b/>
        </w:rPr>
      </w:pPr>
    </w:p>
    <w:p w:rsidR="0079779A" w:rsidRDefault="003E5439" w14:paraId="01719C44" w14:textId="77777777">
      <w:pPr>
        <w:jc w:val="center"/>
        <w:rPr>
          <w:rFonts w:cs="Arial"/>
          <w:b/>
        </w:rPr>
      </w:pPr>
      <w:r>
        <w:rPr>
          <w:rFonts w:cs="Arial"/>
          <w:b/>
        </w:rPr>
        <w:t>FORM OF TRANSFER REQUEST</w:t>
      </w:r>
    </w:p>
    <w:p w:rsidR="0079779A" w:rsidRDefault="0079779A" w14:paraId="7E849DAA" w14:textId="77777777">
      <w:pPr>
        <w:jc w:val="center"/>
        <w:rPr>
          <w:rFonts w:cs="Arial"/>
          <w:b/>
        </w:rPr>
      </w:pPr>
    </w:p>
    <w:p w:rsidR="0079779A" w:rsidRDefault="003E5439" w14:paraId="40A16F1B" w14:textId="77777777">
      <w:pPr>
        <w:rPr>
          <w:rFonts w:cs="Arial"/>
        </w:rPr>
      </w:pPr>
      <w:r>
        <w:rPr>
          <w:rFonts w:cs="Arial"/>
        </w:rPr>
        <w:t>Irrevocable Standby Letter of Credit No. ____________________</w:t>
      </w:r>
    </w:p>
    <w:p w:rsidR="0079779A" w:rsidRDefault="0079779A" w14:paraId="0C3036DA" w14:textId="77777777">
      <w:pPr>
        <w:rPr>
          <w:rFonts w:cs="Arial"/>
        </w:rPr>
      </w:pPr>
    </w:p>
    <w:p w:rsidR="0079779A" w:rsidRDefault="0079779A" w14:paraId="30B50D15" w14:textId="77777777">
      <w:pPr>
        <w:rPr>
          <w:rFonts w:cs="Arial"/>
        </w:rPr>
      </w:pPr>
    </w:p>
    <w:p w:rsidR="0079779A" w:rsidRDefault="003E5439" w14:paraId="2CC3A7D6" w14:textId="77777777">
      <w:pPr>
        <w:rPr>
          <w:rFonts w:cs="Arial"/>
        </w:rPr>
      </w:pPr>
      <w:r>
        <w:rPr>
          <w:rFonts w:cs="Arial"/>
        </w:rPr>
        <w:t>Current Beneficiary:</w:t>
      </w:r>
      <w:r>
        <w:rPr>
          <w:rFonts w:cs="Arial"/>
        </w:rPr>
        <w:tab/>
      </w:r>
      <w:r>
        <w:rPr>
          <w:rFonts w:cs="Arial"/>
        </w:rPr>
        <w:tab/>
      </w:r>
      <w:r>
        <w:rPr>
          <w:rFonts w:cs="Arial"/>
        </w:rPr>
        <w:tab/>
      </w:r>
      <w:r>
        <w:rPr>
          <w:rFonts w:cs="Arial"/>
        </w:rPr>
        <w:tab/>
        <w:t>Applicant:</w:t>
      </w:r>
    </w:p>
    <w:p w:rsidR="0079779A" w:rsidRDefault="0079779A" w14:paraId="690A81F9" w14:textId="77777777">
      <w:pPr>
        <w:rPr>
          <w:rFonts w:cs="Arial"/>
        </w:rPr>
      </w:pPr>
    </w:p>
    <w:p w:rsidR="0079779A" w:rsidRDefault="003E5439" w14:paraId="5329275D" w14:textId="77777777">
      <w:pPr>
        <w:rPr>
          <w:rFonts w:cs="Arial"/>
        </w:rPr>
      </w:pPr>
      <w:r>
        <w:rPr>
          <w:rFonts w:cs="Arial"/>
        </w:rPr>
        <w:t>__________________________</w:t>
      </w:r>
      <w:r>
        <w:rPr>
          <w:rFonts w:cs="Arial"/>
        </w:rPr>
        <w:tab/>
      </w:r>
      <w:r>
        <w:rPr>
          <w:rFonts w:cs="Arial"/>
        </w:rPr>
        <w:tab/>
        <w:t>____________________________</w:t>
      </w:r>
    </w:p>
    <w:p w:rsidR="0079779A" w:rsidRDefault="003E5439" w14:paraId="6CD808ED" w14:textId="77777777">
      <w:pPr>
        <w:rPr>
          <w:rFonts w:cs="Arial"/>
        </w:rPr>
      </w:pPr>
      <w:r>
        <w:rPr>
          <w:rFonts w:cs="Arial"/>
        </w:rPr>
        <w:t>__________________________</w:t>
      </w:r>
      <w:r>
        <w:rPr>
          <w:rFonts w:cs="Arial"/>
        </w:rPr>
        <w:tab/>
      </w:r>
      <w:r>
        <w:rPr>
          <w:rFonts w:cs="Arial"/>
        </w:rPr>
        <w:tab/>
        <w:t>____________________________</w:t>
      </w:r>
    </w:p>
    <w:p w:rsidR="0079779A" w:rsidRDefault="003E5439" w14:paraId="36DB6CC0" w14:textId="77777777">
      <w:pPr>
        <w:rPr>
          <w:rFonts w:cs="Arial"/>
        </w:rPr>
      </w:pPr>
      <w:r>
        <w:rPr>
          <w:rFonts w:cs="Arial"/>
        </w:rPr>
        <w:t>__________________________</w:t>
      </w:r>
      <w:r>
        <w:rPr>
          <w:rFonts w:cs="Arial"/>
        </w:rPr>
        <w:tab/>
      </w:r>
      <w:r>
        <w:rPr>
          <w:rFonts w:cs="Arial"/>
        </w:rPr>
        <w:tab/>
        <w:t>____________________________</w:t>
      </w:r>
    </w:p>
    <w:p w:rsidR="0079779A" w:rsidRDefault="003E5439" w14:paraId="1AE7D6F2" w14:textId="77777777">
      <w:pPr>
        <w:rPr>
          <w:rFonts w:cs="Arial"/>
        </w:rPr>
      </w:pPr>
      <w:r>
        <w:rPr>
          <w:rFonts w:cs="Arial"/>
        </w:rPr>
        <w:t>__________________________</w:t>
      </w:r>
      <w:r>
        <w:rPr>
          <w:rFonts w:cs="Arial"/>
        </w:rPr>
        <w:tab/>
      </w:r>
      <w:r>
        <w:rPr>
          <w:rFonts w:cs="Arial"/>
        </w:rPr>
        <w:tab/>
        <w:t>____________________________</w:t>
      </w:r>
    </w:p>
    <w:p w:rsidR="0079779A" w:rsidRDefault="0079779A" w14:paraId="4B2DC98C" w14:textId="77777777">
      <w:pPr>
        <w:rPr>
          <w:rFonts w:cs="Arial"/>
        </w:rPr>
      </w:pPr>
    </w:p>
    <w:p w:rsidR="0079779A" w:rsidRDefault="003E5439" w14:paraId="3699CC36" w14:textId="77777777">
      <w:pPr>
        <w:rPr>
          <w:rFonts w:cs="Arial"/>
        </w:rPr>
      </w:pPr>
      <w:r>
        <w:rPr>
          <w:rFonts w:cs="Arial"/>
        </w:rPr>
        <w:t>To: [Name of Issuer] ("Issuer")</w:t>
      </w:r>
    </w:p>
    <w:p w:rsidR="0079779A" w:rsidRDefault="0079779A" w14:paraId="453C10FA" w14:textId="77777777">
      <w:pPr>
        <w:rPr>
          <w:rFonts w:cs="Arial"/>
        </w:rPr>
      </w:pPr>
    </w:p>
    <w:p w:rsidR="0079779A" w:rsidRDefault="003E5439" w14:paraId="2C642D19" w14:textId="77777777">
      <w:pPr>
        <w:rPr>
          <w:rFonts w:cs="Arial"/>
        </w:rPr>
      </w:pPr>
      <w:r>
        <w:rPr>
          <w:rFonts w:cs="Arial"/>
        </w:rPr>
        <w:t>The undersigned, as the current "Beneficiary" of the above-referenced Letter of Credit, hereby requests that you reissue the Letter of Credit in favor of the transferee named below [insert transferee name and address below]:</w:t>
      </w:r>
    </w:p>
    <w:p w:rsidR="0079779A" w:rsidRDefault="0079779A" w14:paraId="1A22EF9A" w14:textId="77777777">
      <w:pPr>
        <w:rPr>
          <w:rFonts w:cs="Arial"/>
        </w:rPr>
      </w:pPr>
    </w:p>
    <w:p w:rsidR="0079779A" w:rsidRDefault="003E5439" w14:paraId="494EA06A" w14:textId="77777777">
      <w:pPr>
        <w:ind w:left="540"/>
        <w:rPr>
          <w:rFonts w:cs="Arial"/>
        </w:rPr>
      </w:pPr>
      <w:r>
        <w:rPr>
          <w:rFonts w:cs="Arial"/>
        </w:rPr>
        <w:t>_____________________________</w:t>
      </w:r>
    </w:p>
    <w:p w:rsidR="0079779A" w:rsidRDefault="003E5439" w14:paraId="686CE88F" w14:textId="77777777">
      <w:pPr>
        <w:ind w:left="540"/>
        <w:rPr>
          <w:rFonts w:cs="Arial"/>
        </w:rPr>
      </w:pPr>
      <w:r>
        <w:rPr>
          <w:rFonts w:cs="Arial"/>
        </w:rPr>
        <w:t>_____________________________</w:t>
      </w:r>
    </w:p>
    <w:p w:rsidR="0079779A" w:rsidRDefault="003E5439" w14:paraId="35229EED" w14:textId="77777777">
      <w:pPr>
        <w:ind w:left="540"/>
        <w:rPr>
          <w:rFonts w:cs="Arial"/>
        </w:rPr>
      </w:pPr>
      <w:r>
        <w:rPr>
          <w:rFonts w:cs="Arial"/>
        </w:rPr>
        <w:t>_____________________________</w:t>
      </w:r>
    </w:p>
    <w:p w:rsidR="0079779A" w:rsidRDefault="003E5439" w14:paraId="0C37AFEF" w14:textId="77777777">
      <w:pPr>
        <w:ind w:left="540"/>
        <w:rPr>
          <w:rFonts w:cs="Arial"/>
        </w:rPr>
      </w:pPr>
      <w:r>
        <w:rPr>
          <w:rFonts w:cs="Arial"/>
        </w:rPr>
        <w:t>_____________________________</w:t>
      </w:r>
    </w:p>
    <w:p w:rsidR="0079779A" w:rsidRDefault="0079779A" w14:paraId="4F652264" w14:textId="77777777">
      <w:pPr>
        <w:rPr>
          <w:rFonts w:cs="Arial"/>
        </w:rPr>
      </w:pPr>
    </w:p>
    <w:p w:rsidR="0079779A" w:rsidRDefault="003E5439" w14:paraId="75E52380" w14:textId="77777777">
      <w:pPr>
        <w:rPr>
          <w:rFonts w:cs="Arial"/>
        </w:rPr>
      </w:pPr>
      <w:r>
        <w:rPr>
          <w:rFonts w:cs="Arial"/>
        </w:rPr>
        <w:t xml:space="preserve">From and after the date this transfer request is delivered to Issuer, the transferee shall be the "Beneficiary" under the Letter of Credit for all purposes and shall be entitled to exercise and enjoy all of the rights, </w:t>
      </w:r>
      <w:proofErr w:type="gramStart"/>
      <w:r>
        <w:rPr>
          <w:rFonts w:cs="Arial"/>
        </w:rPr>
        <w:t>privileges</w:t>
      </w:r>
      <w:proofErr w:type="gramEnd"/>
      <w:r>
        <w:rPr>
          <w:rFonts w:cs="Arial"/>
        </w:rPr>
        <w:t xml:space="preserve"> and benefits thereof.</w:t>
      </w:r>
    </w:p>
    <w:p w:rsidR="0079779A" w:rsidRDefault="0079779A" w14:paraId="728FE925" w14:textId="77777777">
      <w:pPr>
        <w:rPr>
          <w:rFonts w:cs="Arial"/>
        </w:rPr>
      </w:pPr>
    </w:p>
    <w:p w:rsidR="0079779A" w:rsidRDefault="003E5439" w14:paraId="15F03631" w14:textId="77777777">
      <w:pPr>
        <w:rPr>
          <w:rFonts w:cs="Arial"/>
        </w:rPr>
      </w:pPr>
      <w:r>
        <w:rPr>
          <w:rFonts w:cs="Arial"/>
        </w:rPr>
        <w:t>Dated: ________________</w:t>
      </w:r>
      <w:r>
        <w:rPr>
          <w:rFonts w:cs="Arial"/>
        </w:rPr>
        <w:tab/>
      </w:r>
      <w:r>
        <w:rPr>
          <w:rFonts w:cs="Arial"/>
        </w:rPr>
        <w:tab/>
        <w:t>Public Service Company of Colorado</w:t>
      </w:r>
    </w:p>
    <w:p w:rsidR="0079779A" w:rsidRDefault="0079779A" w14:paraId="3B5BB21E" w14:textId="77777777">
      <w:pPr>
        <w:rPr>
          <w:rFonts w:cs="Arial"/>
        </w:rPr>
      </w:pPr>
    </w:p>
    <w:p w:rsidR="0079779A" w:rsidRDefault="0079779A" w14:paraId="47CD0B34" w14:textId="77777777">
      <w:pPr>
        <w:rPr>
          <w:rFonts w:cs="Arial"/>
        </w:rPr>
      </w:pPr>
    </w:p>
    <w:p w:rsidR="0079779A" w:rsidRDefault="003E5439" w14:paraId="2033AFB8"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By: ______________________</w:t>
      </w:r>
    </w:p>
    <w:p w:rsidR="0079779A" w:rsidRDefault="003E5439" w14:paraId="79E8F9E9"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Name: ______________</w:t>
      </w:r>
    </w:p>
    <w:p w:rsidR="0079779A" w:rsidRDefault="003E5439" w14:paraId="79C85833"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 xml:space="preserve">       Title: ______________</w:t>
      </w:r>
    </w:p>
    <w:p w:rsidR="0079779A" w:rsidRDefault="0079779A" w14:paraId="15ECA6C6" w14:textId="77777777">
      <w:pPr>
        <w:rPr>
          <w:rFonts w:cs="Arial"/>
        </w:rPr>
      </w:pPr>
    </w:p>
    <w:p w:rsidR="0079779A" w:rsidRDefault="003E5439" w14:paraId="32C6B25A"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t>[Notary Acknowledgement]</w:t>
      </w:r>
    </w:p>
    <w:p w:rsidR="0079779A" w:rsidRDefault="0079779A" w14:paraId="0BB4F7EC" w14:textId="77777777">
      <w:pPr>
        <w:rPr>
          <w:rFonts w:cs="Arial"/>
        </w:rPr>
      </w:pPr>
    </w:p>
    <w:p w:rsidR="0079779A" w:rsidRDefault="003E5439" w14:paraId="3897C851" w14:textId="77777777">
      <w:pPr>
        <w:rPr>
          <w:rFonts w:cs="Arial"/>
        </w:rPr>
      </w:pPr>
      <w:r>
        <w:rPr>
          <w:rFonts w:cs="Arial"/>
        </w:rPr>
        <w:t xml:space="preserve">To be signed by a person purporting to be an authorized representative of Beneficiary and indicating his or her title or other official </w:t>
      </w:r>
      <w:proofErr w:type="gramStart"/>
      <w:r>
        <w:rPr>
          <w:rFonts w:cs="Arial"/>
        </w:rPr>
        <w:t>capacity, and</w:t>
      </w:r>
      <w:proofErr w:type="gramEnd"/>
      <w:r>
        <w:rPr>
          <w:rFonts w:cs="Arial"/>
        </w:rPr>
        <w:t xml:space="preserve"> acknowledged by a notary public.</w:t>
      </w:r>
    </w:p>
    <w:p w:rsidR="0079779A" w:rsidRDefault="0079779A" w14:paraId="31EC8C04" w14:textId="77777777">
      <w:pPr>
        <w:spacing w:line="200" w:lineRule="exact"/>
        <w:rPr>
          <w:rFonts w:cs="Arial"/>
        </w:rPr>
        <w:sectPr w:rsidR="0079779A">
          <w:footerReference w:type="default" r:id="rId41"/>
          <w:footerReference w:type="first" r:id="rId42"/>
          <w:pgSz w:w="12240" w:h="15840" w:code="1"/>
          <w:pgMar w:top="1440" w:right="1440" w:bottom="1440" w:left="1440" w:header="720" w:footer="720" w:gutter="0"/>
          <w:cols w:space="720"/>
          <w:titlePg/>
          <w:docGrid w:linePitch="360"/>
        </w:sectPr>
      </w:pPr>
    </w:p>
    <w:p w:rsidR="0079779A" w:rsidRDefault="003E5439" w14:paraId="5AC43EF5" w14:textId="77777777">
      <w:pPr>
        <w:pageBreakBefore/>
        <w:spacing w:after="120"/>
        <w:jc w:val="center"/>
        <w:rPr>
          <w:rFonts w:cs="Arial"/>
          <w:b/>
        </w:rPr>
      </w:pPr>
      <w:r>
        <w:rPr>
          <w:rFonts w:cs="Arial"/>
          <w:b/>
        </w:rPr>
        <w:lastRenderedPageBreak/>
        <w:t>EXHIBIT H</w:t>
      </w:r>
    </w:p>
    <w:p w:rsidR="0079779A" w:rsidRDefault="003E5439" w14:paraId="35B01E1D" w14:textId="77777777">
      <w:pPr>
        <w:spacing w:after="120"/>
        <w:jc w:val="center"/>
        <w:rPr>
          <w:rFonts w:cs="Arial"/>
          <w:b/>
        </w:rPr>
      </w:pPr>
      <w:r>
        <w:rPr>
          <w:rFonts w:cs="Arial"/>
          <w:b/>
        </w:rPr>
        <w:t>FORM OF GUARANTY</w:t>
      </w:r>
      <w:r>
        <w:rPr>
          <w:rFonts w:cs="Arial"/>
          <w:b/>
        </w:rPr>
        <w:fldChar w:fldCharType="begin"/>
      </w:r>
      <w:r>
        <w:rPr>
          <w:rFonts w:cs="Arial"/>
        </w:rPr>
        <w:instrText xml:space="preserve"> TC \l "1"</w:instrText>
      </w:r>
      <w:r>
        <w:rPr>
          <w:rFonts w:cs="Arial"/>
          <w:b/>
        </w:rPr>
        <w:fldChar w:fldCharType="end"/>
      </w:r>
    </w:p>
    <w:p w:rsidR="0079779A" w:rsidRDefault="0079779A" w14:paraId="40800199" w14:textId="77777777">
      <w:pPr>
        <w:jc w:val="center"/>
        <w:rPr>
          <w:rFonts w:cs="Arial"/>
          <w:b/>
        </w:rPr>
      </w:pPr>
    </w:p>
    <w:p w:rsidR="0079779A" w:rsidRDefault="003E5439" w14:paraId="09CA13DE" w14:textId="77777777">
      <w:pPr>
        <w:spacing w:after="240"/>
        <w:jc w:val="center"/>
        <w:rPr>
          <w:rFonts w:cs="Arial"/>
          <w:b/>
          <w:u w:val="single"/>
        </w:rPr>
      </w:pPr>
      <w:r>
        <w:rPr>
          <w:rFonts w:cs="Arial"/>
          <w:b/>
          <w:u w:val="single"/>
        </w:rPr>
        <w:t>GUARANTY</w:t>
      </w:r>
    </w:p>
    <w:p w:rsidR="0079779A" w:rsidRDefault="003E5439" w14:paraId="2868D17D" w14:textId="77777777">
      <w:pPr>
        <w:ind w:firstLine="720"/>
        <w:jc w:val="both"/>
        <w:rPr>
          <w:rFonts w:cs="Arial"/>
        </w:rPr>
      </w:pPr>
      <w:r>
        <w:rPr>
          <w:rFonts w:cs="Arial"/>
        </w:rPr>
        <w:t xml:space="preserve">This Guaranty is executed and delivered as of this _____ day of ___________, 20__ by </w:t>
      </w:r>
      <w:r>
        <w:rPr>
          <w:rFonts w:cs="Arial"/>
          <w:b/>
        </w:rPr>
        <w:t>_____________________,</w:t>
      </w:r>
      <w:r>
        <w:rPr>
          <w:rFonts w:cs="Arial"/>
        </w:rPr>
        <w:t xml:space="preserve"> a _____________ [corporation] (“</w:t>
      </w:r>
      <w:r>
        <w:rPr>
          <w:rFonts w:cs="Arial"/>
          <w:u w:val="single"/>
        </w:rPr>
        <w:t>Guarantor</w:t>
      </w:r>
      <w:r>
        <w:rPr>
          <w:rFonts w:cs="Arial"/>
        </w:rPr>
        <w:t>”), in favor of Public Service Company of Colorado (“</w:t>
      </w:r>
      <w:r>
        <w:rPr>
          <w:rFonts w:cs="Arial"/>
          <w:u w:val="single"/>
        </w:rPr>
        <w:t>Company</w:t>
      </w:r>
      <w:r>
        <w:rPr>
          <w:rFonts w:cs="Arial"/>
        </w:rPr>
        <w:t xml:space="preserve">”), in connection with the performance by </w:t>
      </w:r>
      <w:r>
        <w:rPr>
          <w:rFonts w:cs="Arial"/>
          <w:b/>
        </w:rPr>
        <w:t>______________________________,</w:t>
      </w:r>
      <w:r>
        <w:rPr>
          <w:rFonts w:cs="Arial"/>
        </w:rPr>
        <w:t xml:space="preserve"> a ______________ [limited liability company] (“</w:t>
      </w:r>
      <w:r>
        <w:rPr>
          <w:rFonts w:cs="Arial"/>
          <w:u w:val="single"/>
        </w:rPr>
        <w:t>Seller</w:t>
      </w:r>
      <w:r>
        <w:rPr>
          <w:rFonts w:cs="Arial"/>
        </w:rPr>
        <w:t>”) of a Battery Storage Energy Purchase Agreement dated ___________________, 20____ between Seller and Company (the “</w:t>
      </w:r>
      <w:r>
        <w:rPr>
          <w:rFonts w:cs="Arial"/>
          <w:u w:val="single"/>
        </w:rPr>
        <w:t>PPA</w:t>
      </w:r>
      <w:r>
        <w:rPr>
          <w:rFonts w:cs="Arial"/>
        </w:rPr>
        <w:t>”).</w:t>
      </w:r>
    </w:p>
    <w:p w:rsidR="0079779A" w:rsidRDefault="003E5439" w14:paraId="583977D5" w14:textId="77777777">
      <w:pPr>
        <w:spacing w:before="240" w:after="240"/>
        <w:jc w:val="center"/>
        <w:rPr>
          <w:rFonts w:cs="Arial"/>
        </w:rPr>
      </w:pPr>
      <w:r>
        <w:rPr>
          <w:rFonts w:cs="Arial"/>
        </w:rPr>
        <w:t>- RECITALS -</w:t>
      </w:r>
    </w:p>
    <w:p w:rsidR="0079779A" w:rsidRDefault="003E5439" w14:paraId="2FB714E6" w14:textId="77777777">
      <w:pPr>
        <w:spacing w:after="240"/>
        <w:ind w:firstLine="720"/>
        <w:jc w:val="both"/>
        <w:rPr>
          <w:rFonts w:cs="Arial"/>
        </w:rPr>
      </w:pPr>
      <w:r>
        <w:rPr>
          <w:rFonts w:cs="Arial"/>
        </w:rPr>
        <w:t>A.</w:t>
      </w:r>
      <w:r>
        <w:rPr>
          <w:rFonts w:cs="Arial"/>
        </w:rPr>
        <w:tab/>
        <w:t xml:space="preserve">Seller proposes to construct, </w:t>
      </w:r>
      <w:proofErr w:type="gramStart"/>
      <w:r>
        <w:rPr>
          <w:rFonts w:cs="Arial"/>
        </w:rPr>
        <w:t>own</w:t>
      </w:r>
      <w:proofErr w:type="gramEnd"/>
      <w:r>
        <w:rPr>
          <w:rFonts w:cs="Arial"/>
        </w:rPr>
        <w:t xml:space="preserve"> and operate Battery Storage System having a Battery Storage System Nameplate Capacity of approximately ____ MW located in ______________ County, __________ (the “</w:t>
      </w:r>
      <w:r>
        <w:rPr>
          <w:rFonts w:cs="Arial"/>
          <w:u w:val="single"/>
        </w:rPr>
        <w:t>Facility</w:t>
      </w:r>
      <w:r>
        <w:rPr>
          <w:rFonts w:cs="Arial"/>
        </w:rPr>
        <w:t>”).</w:t>
      </w:r>
    </w:p>
    <w:p w:rsidR="0079779A" w:rsidRDefault="003E5439" w14:paraId="1DA99253" w14:textId="77777777">
      <w:pPr>
        <w:spacing w:after="240"/>
        <w:ind w:firstLine="720"/>
        <w:jc w:val="both"/>
        <w:rPr>
          <w:rFonts w:cs="Arial"/>
        </w:rPr>
      </w:pPr>
      <w:r>
        <w:rPr>
          <w:rFonts w:cs="Arial"/>
        </w:rPr>
        <w:t>B.</w:t>
      </w:r>
      <w:r>
        <w:rPr>
          <w:rFonts w:cs="Arial"/>
        </w:rPr>
        <w:tab/>
        <w:t>Seller and Company have entered into the PPA for the purchase and sale of electrical energy from the Facility on the terms and conditions set forth therein.</w:t>
      </w:r>
    </w:p>
    <w:p w:rsidR="0079779A" w:rsidRDefault="003E5439" w14:paraId="0D5F3AAB" w14:textId="77777777">
      <w:pPr>
        <w:spacing w:after="240"/>
        <w:ind w:firstLine="720"/>
        <w:jc w:val="both"/>
        <w:rPr>
          <w:rFonts w:cs="Arial"/>
        </w:rPr>
      </w:pPr>
      <w:r>
        <w:rPr>
          <w:rFonts w:cs="Arial"/>
        </w:rPr>
        <w:t>C.</w:t>
      </w:r>
      <w:r>
        <w:rPr>
          <w:rFonts w:cs="Arial"/>
        </w:rPr>
        <w:tab/>
        <w:t>Seller is controlled by Guarantor.  Guarantor expects to derive substantial benefits from the performance of the PPA by Seller and Company.  To induce Company to enter into and continue the PPA and to consummate the purchase and sale of electrical energy contemplated by the PPA, Guarantor has agreed to guarantee the obligations of Seller as provided in this Guaranty.</w:t>
      </w:r>
    </w:p>
    <w:p w:rsidR="0079779A" w:rsidRDefault="003E5439" w14:paraId="195A74A9" w14:textId="77777777">
      <w:pPr>
        <w:spacing w:after="240"/>
        <w:ind w:firstLine="720"/>
        <w:jc w:val="both"/>
        <w:rPr>
          <w:rFonts w:cs="Arial"/>
        </w:rPr>
      </w:pPr>
      <w:r>
        <w:rPr>
          <w:rFonts w:cs="Arial"/>
        </w:rPr>
        <w:t>NOW, THEREFORE, in consideration of the foregoing, Guarantor agrees as follows:</w:t>
      </w:r>
    </w:p>
    <w:p w:rsidR="0079779A" w:rsidRDefault="003E5439" w14:paraId="3E3A3643" w14:textId="77777777">
      <w:pPr>
        <w:spacing w:after="240"/>
        <w:jc w:val="center"/>
        <w:rPr>
          <w:rFonts w:cs="Arial"/>
        </w:rPr>
      </w:pPr>
      <w:r>
        <w:rPr>
          <w:rFonts w:cs="Arial"/>
        </w:rPr>
        <w:t>- AGREEMENT -</w:t>
      </w:r>
    </w:p>
    <w:p w:rsidR="0079779A" w:rsidRDefault="003E5439" w14:paraId="5A406B06" w14:textId="77777777">
      <w:pPr>
        <w:spacing w:after="240"/>
        <w:ind w:firstLine="720"/>
        <w:jc w:val="both"/>
        <w:rPr>
          <w:rFonts w:cs="Arial"/>
        </w:rPr>
      </w:pPr>
      <w:r>
        <w:rPr>
          <w:rFonts w:cs="Arial"/>
        </w:rPr>
        <w:t>1.</w:t>
      </w:r>
      <w:r>
        <w:rPr>
          <w:rFonts w:cs="Arial"/>
        </w:rPr>
        <w:tab/>
      </w:r>
      <w:r>
        <w:rPr>
          <w:rFonts w:cs="Arial"/>
          <w:u w:val="single"/>
        </w:rPr>
        <w:t>Guaranty</w:t>
      </w:r>
      <w:r>
        <w:rPr>
          <w:rFonts w:cs="Arial"/>
        </w:rPr>
        <w:t>.  Subject to the provisions of this Guaranty, Guarantor hereby absolutely, irrevocably, unconditionally, and fully guarantees to Company the due, prompt, and complete observance, performance, and discharge of each and every payment obligation of Seller under the PPA, whether incurred before or after the date of delivery of this Guaranty (the “</w:t>
      </w:r>
      <w:r>
        <w:rPr>
          <w:rFonts w:cs="Arial"/>
          <w:u w:val="single"/>
        </w:rPr>
        <w:t>Obligations</w:t>
      </w:r>
      <w:r>
        <w:rPr>
          <w:rFonts w:cs="Arial"/>
        </w:rPr>
        <w:t>”).  This is a guaranty of payment, not of collection, and as such, Company shall not be required to institute, pursue, or exhaust any remedies against Seller before instituting suit, obtaining judgment, and executing thereon against Guarantor under this Guaranty.  This Guaranty shall survive termination of the PPA to the extent necessary to enforce and complete the rights, duties and obligations of Company and Seller thereunder.</w:t>
      </w:r>
    </w:p>
    <w:p w:rsidR="0079779A" w:rsidRDefault="003E5439" w14:paraId="7456B857" w14:textId="77777777">
      <w:pPr>
        <w:spacing w:after="240"/>
        <w:ind w:firstLine="720"/>
        <w:jc w:val="both"/>
        <w:rPr>
          <w:rFonts w:cs="Arial"/>
        </w:rPr>
      </w:pPr>
      <w:r>
        <w:rPr>
          <w:rFonts w:cs="Arial"/>
        </w:rPr>
        <w:t>2.</w:t>
      </w:r>
      <w:r>
        <w:rPr>
          <w:rFonts w:cs="Arial"/>
        </w:rPr>
        <w:tab/>
      </w:r>
      <w:r>
        <w:rPr>
          <w:rFonts w:cs="Arial"/>
          <w:u w:val="single"/>
        </w:rPr>
        <w:t>Maximum Liability</w:t>
      </w:r>
      <w:r>
        <w:rPr>
          <w:rFonts w:cs="Arial"/>
        </w:rPr>
        <w:t>.  Notwithstanding anything herein to the contrary, Guarantor’s maximum liability under this Guaranty shall be limited to ______________ dollars (US$_______) plus costs of collection under Section 10 below.</w:t>
      </w:r>
    </w:p>
    <w:p w:rsidR="0079779A" w:rsidRDefault="003E5439" w14:paraId="3DEAE8C7" w14:textId="77777777">
      <w:pPr>
        <w:spacing w:after="240"/>
        <w:ind w:firstLine="720"/>
        <w:jc w:val="both"/>
        <w:rPr>
          <w:rFonts w:cs="Arial"/>
        </w:rPr>
      </w:pPr>
      <w:r>
        <w:rPr>
          <w:rFonts w:cs="Arial"/>
        </w:rPr>
        <w:lastRenderedPageBreak/>
        <w:t>3.</w:t>
      </w:r>
      <w:r>
        <w:rPr>
          <w:rFonts w:cs="Arial"/>
        </w:rPr>
        <w:tab/>
      </w:r>
      <w:r>
        <w:rPr>
          <w:rFonts w:cs="Arial"/>
          <w:u w:val="single"/>
        </w:rPr>
        <w:t>Rights of Company</w:t>
      </w:r>
      <w:r>
        <w:rPr>
          <w:rFonts w:cs="Arial"/>
        </w:rPr>
        <w:t>.  Guarantor hereby grants to Company, in Company’s discretion and without the need to notify or obtain any consent from Guarantor, and without termination, impairment, or any other effect upon Guarantor’s duties hereunder, the power and authority from time to time:</w:t>
      </w:r>
    </w:p>
    <w:p w:rsidR="0079779A" w:rsidRDefault="003E5439" w14:paraId="77F0E7D7" w14:textId="77777777">
      <w:pPr>
        <w:spacing w:after="240"/>
        <w:ind w:firstLine="1440"/>
        <w:jc w:val="both"/>
        <w:rPr>
          <w:rFonts w:cs="Arial"/>
        </w:rPr>
      </w:pPr>
      <w:r>
        <w:rPr>
          <w:rFonts w:cs="Arial"/>
        </w:rPr>
        <w:t>(a)</w:t>
      </w:r>
      <w:r>
        <w:rPr>
          <w:rFonts w:cs="Arial"/>
        </w:rPr>
        <w:tab/>
        <w:t xml:space="preserve">to renew, compromise, extend, accelerate, or otherwise change, substitute, supersede, or terminate the terms of performance of any of the Obligations, in each case in accordance with the </w:t>
      </w:r>
      <w:proofErr w:type="gramStart"/>
      <w:r>
        <w:rPr>
          <w:rFonts w:cs="Arial"/>
        </w:rPr>
        <w:t>PPA;</w:t>
      </w:r>
      <w:proofErr w:type="gramEnd"/>
    </w:p>
    <w:p w:rsidR="0079779A" w:rsidRDefault="003E5439" w14:paraId="6FFB233B" w14:textId="77777777">
      <w:pPr>
        <w:spacing w:after="240"/>
        <w:ind w:firstLine="1440"/>
        <w:jc w:val="both"/>
        <w:rPr>
          <w:rFonts w:cs="Arial"/>
        </w:rPr>
      </w:pPr>
      <w:r>
        <w:rPr>
          <w:rFonts w:cs="Arial"/>
        </w:rPr>
        <w:t>(b)</w:t>
      </w:r>
      <w:r>
        <w:rPr>
          <w:rFonts w:cs="Arial"/>
        </w:rPr>
        <w:tab/>
        <w:t>to grant any indulgences, forbearances, and waivers, on one or more occasions, for any length of time, with respect to Seller’s performance of any of the Obligations; and</w:t>
      </w:r>
    </w:p>
    <w:p w:rsidR="0079779A" w:rsidRDefault="003E5439" w14:paraId="10837FA7" w14:textId="77777777">
      <w:pPr>
        <w:spacing w:after="240"/>
        <w:ind w:firstLine="1440"/>
        <w:jc w:val="both"/>
        <w:rPr>
          <w:rFonts w:cs="Arial"/>
        </w:rPr>
      </w:pPr>
      <w:r>
        <w:rPr>
          <w:rFonts w:cs="Arial"/>
        </w:rPr>
        <w:t>(c)</w:t>
      </w:r>
      <w:r>
        <w:rPr>
          <w:rFonts w:cs="Arial"/>
        </w:rPr>
        <w:tab/>
        <w:t>to accept collateral, further guaranties, and/or other security for the Obligations, and, if so accepted, then to impair, exhaust, exchange, enforce, waive, or release any such security.</w:t>
      </w:r>
    </w:p>
    <w:p w:rsidR="0079779A" w:rsidRDefault="003E5439" w14:paraId="1FC4EED4" w14:textId="77777777">
      <w:pPr>
        <w:spacing w:after="240"/>
        <w:ind w:firstLine="720"/>
        <w:jc w:val="both"/>
        <w:rPr>
          <w:rFonts w:cs="Arial"/>
        </w:rPr>
      </w:pPr>
      <w:r>
        <w:rPr>
          <w:rFonts w:cs="Arial"/>
        </w:rPr>
        <w:t>4.</w:t>
      </w:r>
      <w:r>
        <w:rPr>
          <w:rFonts w:cs="Arial"/>
        </w:rPr>
        <w:tab/>
      </w:r>
      <w:r>
        <w:rPr>
          <w:rFonts w:cs="Arial"/>
          <w:u w:val="single"/>
        </w:rPr>
        <w:t>Performance</w:t>
      </w:r>
      <w:r>
        <w:rPr>
          <w:rFonts w:cs="Arial"/>
        </w:rPr>
        <w:t>.  If any of the Obligations are not performed according to the tenor thereof, and any applicable notice and cure period provided by the PPA has expired (“</w:t>
      </w:r>
      <w:r>
        <w:rPr>
          <w:rFonts w:cs="Arial"/>
          <w:u w:val="single"/>
        </w:rPr>
        <w:t>Default</w:t>
      </w:r>
      <w:r>
        <w:rPr>
          <w:rFonts w:cs="Arial"/>
        </w:rPr>
        <w:t>”), Guarantor shall immediately upon receipt of written demand by Company (a) perform or cause Seller to perform the Obligation in Default, and (b) pay, reimburse, and indemnify Company against any liabilities, damages, and related costs (including attorneys’ fees) incurred by Company as a result thereof, all in such manner and at such times as Company may reasonably direct.</w:t>
      </w:r>
    </w:p>
    <w:p w:rsidR="0079779A" w:rsidRDefault="003E5439" w14:paraId="610B0797" w14:textId="77777777">
      <w:pPr>
        <w:spacing w:after="240"/>
        <w:ind w:firstLine="720"/>
        <w:jc w:val="both"/>
        <w:rPr>
          <w:rFonts w:cs="Arial"/>
        </w:rPr>
      </w:pPr>
      <w:r>
        <w:rPr>
          <w:rFonts w:cs="Arial"/>
        </w:rPr>
        <w:t>5.</w:t>
      </w:r>
      <w:r>
        <w:rPr>
          <w:rFonts w:cs="Arial"/>
        </w:rPr>
        <w:tab/>
      </w:r>
      <w:r>
        <w:rPr>
          <w:rFonts w:cs="Arial"/>
          <w:u w:val="single"/>
        </w:rPr>
        <w:t>Satisfaction</w:t>
      </w:r>
      <w:r>
        <w:rPr>
          <w:rFonts w:cs="Arial"/>
        </w:rPr>
        <w:t>.  Satisfaction by Guarantor of any duty hereunder incident to a particular Default or the occurrence of any other Default shall not discharge Guarantor except with respect to the Default satisfied, it being the intent of Guarantor that this Guaranty be continuing until such time as all of the Obligations have irrevocably been discharged in full, at which time this Guaranty shall automatically terminate.  If at any time the performance of any Obligation by Seller or Guarantor is rescinded or voided under the federal Bankruptcy Code or otherwise, then Guarantor’s duties hereunder shall continue and be deemed to have been automatically reinstated, restored, and continued with respect to that Obligation, as though the performance of that Obligation had never occurred, regardless of whether this Guaranty otherwise had terminated or would have been terminated following or as a result of that performance.</w:t>
      </w:r>
    </w:p>
    <w:p w:rsidR="0079779A" w:rsidRDefault="003E5439" w14:paraId="7F2F1E1E" w14:textId="77777777">
      <w:pPr>
        <w:spacing w:after="240"/>
        <w:ind w:firstLine="720"/>
        <w:jc w:val="both"/>
        <w:rPr>
          <w:rFonts w:cs="Arial"/>
        </w:rPr>
      </w:pPr>
      <w:r>
        <w:rPr>
          <w:rFonts w:cs="Arial"/>
        </w:rPr>
        <w:t>6.</w:t>
      </w:r>
      <w:r>
        <w:rPr>
          <w:rFonts w:cs="Arial"/>
        </w:rPr>
        <w:tab/>
      </w:r>
      <w:r>
        <w:rPr>
          <w:rFonts w:cs="Arial"/>
          <w:u w:val="single"/>
        </w:rPr>
        <w:t>Notice of Acceptance</w:t>
      </w:r>
      <w:r>
        <w:rPr>
          <w:rFonts w:cs="Arial"/>
        </w:rPr>
        <w:t>.  Guarantor waives and acknowledges notice of acceptance of this Guaranty by Company.</w:t>
      </w:r>
    </w:p>
    <w:p w:rsidR="0079779A" w:rsidRDefault="003E5439" w14:paraId="4DA3652D" w14:textId="77777777">
      <w:pPr>
        <w:spacing w:after="240"/>
        <w:ind w:firstLine="720"/>
        <w:jc w:val="both"/>
        <w:rPr>
          <w:rFonts w:cs="Arial"/>
        </w:rPr>
      </w:pPr>
      <w:r>
        <w:rPr>
          <w:rFonts w:cs="Arial"/>
        </w:rPr>
        <w:t>7.</w:t>
      </w:r>
      <w:r>
        <w:rPr>
          <w:rFonts w:cs="Arial"/>
        </w:rPr>
        <w:tab/>
      </w:r>
      <w:r>
        <w:rPr>
          <w:rFonts w:cs="Arial"/>
          <w:u w:val="single"/>
        </w:rPr>
        <w:t>Waivers by Guarantor</w:t>
      </w:r>
      <w:r>
        <w:rPr>
          <w:rFonts w:cs="Arial"/>
        </w:rPr>
        <w:t>.  Guarantor hereby waives and agrees not to assert or take advantage of:</w:t>
      </w:r>
    </w:p>
    <w:p w:rsidR="0079779A" w:rsidRDefault="003E5439" w14:paraId="106D47FE" w14:textId="77777777">
      <w:pPr>
        <w:spacing w:after="240"/>
        <w:ind w:firstLine="1440"/>
        <w:jc w:val="both"/>
        <w:rPr>
          <w:rFonts w:cs="Arial"/>
        </w:rPr>
      </w:pPr>
      <w:r>
        <w:rPr>
          <w:rFonts w:cs="Arial"/>
        </w:rPr>
        <w:t>(a)</w:t>
      </w:r>
      <w:r>
        <w:rPr>
          <w:rFonts w:cs="Arial"/>
        </w:rPr>
        <w:tab/>
        <w:t xml:space="preserve">all set-offs, counterclaims, and, subject to Section 4 above, all presentments, demands for performance, notices of non-performance, protests, and notices of every kind that may be required by Applicable </w:t>
      </w:r>
      <w:proofErr w:type="gramStart"/>
      <w:r>
        <w:rPr>
          <w:rFonts w:cs="Arial"/>
        </w:rPr>
        <w:t>Laws;</w:t>
      </w:r>
      <w:proofErr w:type="gramEnd"/>
    </w:p>
    <w:p w:rsidR="0079779A" w:rsidRDefault="003E5439" w14:paraId="4B6F8A2E" w14:textId="77777777">
      <w:pPr>
        <w:spacing w:after="240"/>
        <w:ind w:firstLine="1440"/>
        <w:jc w:val="both"/>
        <w:rPr>
          <w:rFonts w:cs="Arial"/>
        </w:rPr>
      </w:pPr>
      <w:r>
        <w:rPr>
          <w:rFonts w:cs="Arial"/>
        </w:rPr>
        <w:lastRenderedPageBreak/>
        <w:t>(b)</w:t>
      </w:r>
      <w:r>
        <w:rPr>
          <w:rFonts w:cs="Arial"/>
        </w:rPr>
        <w:tab/>
        <w:t xml:space="preserve">any right to require Company to proceed against Seller or any other person, or to require Company first to exhaust any remedies against Seller or any other person, before proceeding against Guarantor </w:t>
      </w:r>
      <w:proofErr w:type="gramStart"/>
      <w:r>
        <w:rPr>
          <w:rFonts w:cs="Arial"/>
        </w:rPr>
        <w:t>hereunder;</w:t>
      </w:r>
      <w:proofErr w:type="gramEnd"/>
    </w:p>
    <w:p w:rsidR="0079779A" w:rsidRDefault="003E5439" w14:paraId="1114D550" w14:textId="77777777">
      <w:pPr>
        <w:spacing w:after="240"/>
        <w:ind w:firstLine="1440"/>
        <w:jc w:val="both"/>
        <w:rPr>
          <w:rFonts w:cs="Arial"/>
        </w:rPr>
      </w:pPr>
      <w:r>
        <w:rPr>
          <w:rFonts w:cs="Arial"/>
        </w:rPr>
        <w:t>(c)</w:t>
      </w:r>
      <w:r>
        <w:rPr>
          <w:rFonts w:cs="Arial"/>
        </w:rPr>
        <w:tab/>
        <w:t xml:space="preserve">any defense based upon an election of remedies by </w:t>
      </w:r>
      <w:proofErr w:type="gramStart"/>
      <w:r>
        <w:rPr>
          <w:rFonts w:cs="Arial"/>
        </w:rPr>
        <w:t>Company;</w:t>
      </w:r>
      <w:proofErr w:type="gramEnd"/>
    </w:p>
    <w:p w:rsidR="0079779A" w:rsidRDefault="003E5439" w14:paraId="6748264B" w14:textId="77777777">
      <w:pPr>
        <w:spacing w:after="240"/>
        <w:ind w:firstLine="1440"/>
        <w:jc w:val="both"/>
        <w:rPr>
          <w:rFonts w:cs="Arial"/>
        </w:rPr>
      </w:pPr>
      <w:r>
        <w:rPr>
          <w:rFonts w:cs="Arial"/>
        </w:rPr>
        <w:t>(d)</w:t>
      </w:r>
      <w:r>
        <w:rPr>
          <w:rFonts w:cs="Arial"/>
        </w:rPr>
        <w:tab/>
        <w:t xml:space="preserve">any duty of Company to protect or not impair any security for the </w:t>
      </w:r>
      <w:proofErr w:type="gramStart"/>
      <w:r>
        <w:rPr>
          <w:rFonts w:cs="Arial"/>
        </w:rPr>
        <w:t>Obligations;</w:t>
      </w:r>
      <w:proofErr w:type="gramEnd"/>
    </w:p>
    <w:p w:rsidR="0079779A" w:rsidRDefault="003E5439" w14:paraId="55F1E8FB" w14:textId="77777777">
      <w:pPr>
        <w:spacing w:after="240"/>
        <w:ind w:firstLine="1440"/>
        <w:jc w:val="both"/>
        <w:rPr>
          <w:rFonts w:cs="Arial"/>
        </w:rPr>
      </w:pPr>
      <w:r>
        <w:rPr>
          <w:rFonts w:cs="Arial"/>
        </w:rPr>
        <w:t>(e)</w:t>
      </w:r>
      <w:r>
        <w:rPr>
          <w:rFonts w:cs="Arial"/>
        </w:rPr>
        <w:tab/>
        <w:t xml:space="preserve">the benefit of any laws limiting the liability of a </w:t>
      </w:r>
      <w:proofErr w:type="gramStart"/>
      <w:r>
        <w:rPr>
          <w:rFonts w:cs="Arial"/>
        </w:rPr>
        <w:t>surety;</w:t>
      </w:r>
      <w:proofErr w:type="gramEnd"/>
    </w:p>
    <w:p w:rsidR="0079779A" w:rsidRDefault="003E5439" w14:paraId="3C83C7F1" w14:textId="77777777">
      <w:pPr>
        <w:spacing w:after="240"/>
        <w:ind w:firstLine="1440"/>
        <w:jc w:val="both"/>
        <w:rPr>
          <w:rFonts w:cs="Arial"/>
        </w:rPr>
      </w:pPr>
      <w:r>
        <w:rPr>
          <w:rFonts w:cs="Arial"/>
        </w:rPr>
        <w:t>(f)</w:t>
      </w:r>
      <w:r>
        <w:rPr>
          <w:rFonts w:cs="Arial"/>
        </w:rPr>
        <w:tab/>
        <w:t>any duty of Company to disclose to Guarantor any facts concerning Seller, the PPA or the Facility, or any other circumstances, that would or allegedly would increase the risk to Guarantor under this Guaranty, whether now known or hereafter learned by Company, it being understood that Guarantor is capable of and assumes the responsibility for being and remaining informed as to all such facts and circumstances; and</w:t>
      </w:r>
    </w:p>
    <w:p w:rsidR="0079779A" w:rsidRDefault="003E5439" w14:paraId="269A2B77" w14:textId="77777777">
      <w:pPr>
        <w:spacing w:after="240"/>
        <w:ind w:firstLine="1440"/>
        <w:jc w:val="both"/>
        <w:rPr>
          <w:rFonts w:cs="Arial"/>
        </w:rPr>
      </w:pPr>
      <w:r>
        <w:rPr>
          <w:rFonts w:cs="Arial"/>
        </w:rPr>
        <w:t>(g)</w:t>
      </w:r>
      <w:r>
        <w:rPr>
          <w:rFonts w:cs="Arial"/>
        </w:rPr>
        <w:tab/>
        <w:t>until all Obligations in Default have been fully paid and/or performed, any rights of subrogation, contribution, reimbursement, indemnification, or other rights of payment or recovery for any payment or performance by it hereunder.  For the avoidance of doubt, if any amount is paid to Guarantor in violation of this provision, such amount shall be held by Guarantor for the benefit of, and promptly paid to, Company.</w:t>
      </w:r>
    </w:p>
    <w:p w:rsidR="0079779A" w:rsidRDefault="003E5439" w14:paraId="03822F94" w14:textId="77777777">
      <w:pPr>
        <w:spacing w:after="240"/>
        <w:ind w:firstLine="720"/>
        <w:jc w:val="both"/>
        <w:rPr>
          <w:rFonts w:cs="Arial"/>
        </w:rPr>
      </w:pPr>
      <w:r>
        <w:rPr>
          <w:rFonts w:cs="Arial"/>
        </w:rPr>
        <w:t>8.</w:t>
      </w:r>
      <w:r>
        <w:rPr>
          <w:rFonts w:cs="Arial"/>
        </w:rPr>
        <w:tab/>
      </w:r>
      <w:r>
        <w:rPr>
          <w:rFonts w:cs="Arial"/>
          <w:u w:val="single"/>
        </w:rPr>
        <w:t>Cumulative Remedies</w:t>
      </w:r>
      <w:r>
        <w:rPr>
          <w:rFonts w:cs="Arial"/>
        </w:rPr>
        <w:t>.  The rights and remedies of Company hereunder shall be cumulative and not alternative to any other rights, powers, and remedies that Company may have at law, in equity, or under the PPA.  The obligations of Guarantor hereunder are independent of those of Seller and shall survive unaffected by the bankruptcy of Seller.  Company need not join Seller in any action against Guarantor to preserve its rights set forth herein.</w:t>
      </w:r>
    </w:p>
    <w:p w:rsidR="0079779A" w:rsidRDefault="003E5439" w14:paraId="3467EED9" w14:textId="77777777">
      <w:pPr>
        <w:spacing w:after="240"/>
        <w:ind w:firstLine="720"/>
        <w:jc w:val="both"/>
        <w:rPr>
          <w:rFonts w:cs="Arial"/>
        </w:rPr>
      </w:pPr>
      <w:r>
        <w:rPr>
          <w:rFonts w:cs="Arial"/>
        </w:rPr>
        <w:t>9.</w:t>
      </w:r>
      <w:r>
        <w:rPr>
          <w:rFonts w:cs="Arial"/>
        </w:rPr>
        <w:tab/>
      </w:r>
      <w:r>
        <w:rPr>
          <w:rFonts w:cs="Arial"/>
          <w:u w:val="single"/>
        </w:rPr>
        <w:t>Representations and Warranties</w:t>
      </w:r>
      <w:r>
        <w:rPr>
          <w:rFonts w:cs="Arial"/>
        </w:rPr>
        <w:t>.  Guarantor represents and warrants to Company as follows:</w:t>
      </w:r>
    </w:p>
    <w:p w:rsidR="0079779A" w:rsidRDefault="003E5439" w14:paraId="1242C983" w14:textId="77777777">
      <w:pPr>
        <w:spacing w:after="240"/>
        <w:ind w:firstLine="1440"/>
        <w:jc w:val="both"/>
        <w:rPr>
          <w:rFonts w:cs="Arial"/>
        </w:rPr>
      </w:pPr>
      <w:r>
        <w:rPr>
          <w:rFonts w:cs="Arial"/>
        </w:rPr>
        <w:t>(a)</w:t>
      </w:r>
      <w:r>
        <w:rPr>
          <w:rFonts w:cs="Arial"/>
        </w:rPr>
        <w:tab/>
        <w:t>Guarantor is a corporation, duly organized, validly existing, and in good standing under the laws of the state of its incorporation.  Seller is a direct or indirect wholly-owned subsidiary of Guarantor.  Guarantor has all necessary corporate power and authority to execute and deliver this Guaranty and to perform its obligations hereunder.</w:t>
      </w:r>
    </w:p>
    <w:p w:rsidR="0079779A" w:rsidRDefault="003E5439" w14:paraId="27394F6D" w14:textId="77777777">
      <w:pPr>
        <w:spacing w:after="240"/>
        <w:ind w:firstLine="1440"/>
        <w:jc w:val="both"/>
        <w:rPr>
          <w:rFonts w:cs="Arial"/>
        </w:rPr>
      </w:pPr>
      <w:r>
        <w:rPr>
          <w:rFonts w:cs="Arial"/>
        </w:rPr>
        <w:t>(b)</w:t>
      </w:r>
      <w:r>
        <w:rPr>
          <w:rFonts w:cs="Arial"/>
        </w:rPr>
        <w:tab/>
        <w:t xml:space="preserve">The execution, delivery and performance of this Guaranty has been duly and validly authorized by all corporate proceedings of Guarantor and is not in violation of any law, judgment of court or government </w:t>
      </w:r>
      <w:proofErr w:type="gramStart"/>
      <w:r>
        <w:rPr>
          <w:rFonts w:cs="Arial"/>
        </w:rPr>
        <w:t>agency .</w:t>
      </w:r>
      <w:proofErr w:type="gramEnd"/>
      <w:r>
        <w:rPr>
          <w:rFonts w:cs="Arial"/>
        </w:rPr>
        <w:t xml:space="preserve">  This Guaranty has been duly and validly executed and delivered by Guarantor and constitutes a legal, </w:t>
      </w:r>
      <w:proofErr w:type="gramStart"/>
      <w:r>
        <w:rPr>
          <w:rFonts w:cs="Arial"/>
        </w:rPr>
        <w:t>valid</w:t>
      </w:r>
      <w:proofErr w:type="gramEnd"/>
      <w:r>
        <w:rPr>
          <w:rFonts w:cs="Arial"/>
        </w:rPr>
        <w:t xml:space="preserve"> and binding obligation of Guarantor, enforceable against Guarantor in accordance with its terms.</w:t>
      </w:r>
    </w:p>
    <w:p w:rsidR="0079779A" w:rsidRDefault="003E5439" w14:paraId="5CA8E236" w14:textId="77777777">
      <w:pPr>
        <w:spacing w:after="240"/>
        <w:ind w:firstLine="720"/>
        <w:jc w:val="both"/>
        <w:rPr>
          <w:rFonts w:cs="Arial"/>
        </w:rPr>
      </w:pPr>
      <w:r>
        <w:rPr>
          <w:rFonts w:cs="Arial"/>
        </w:rPr>
        <w:t>10.</w:t>
      </w:r>
      <w:r>
        <w:rPr>
          <w:rFonts w:cs="Arial"/>
        </w:rPr>
        <w:tab/>
      </w:r>
      <w:r>
        <w:rPr>
          <w:rFonts w:cs="Arial"/>
          <w:u w:val="single"/>
        </w:rPr>
        <w:t>Collection Costs</w:t>
      </w:r>
      <w:r>
        <w:rPr>
          <w:rFonts w:cs="Arial"/>
        </w:rPr>
        <w:t xml:space="preserve">.  Guarantor shall pay to Company, upon demand, and in addition to the maximum liability set forth in Section 2 hereof, all reasonable attorneys’ </w:t>
      </w:r>
      <w:r>
        <w:rPr>
          <w:rFonts w:cs="Arial"/>
        </w:rPr>
        <w:lastRenderedPageBreak/>
        <w:t>fees and other expenses which Company may expend or incur in enforcing the Obligations against Seller and/or enforcing this Guaranty against Guarantor, whether or not suit is filed, including, without limitation, all attorneys’ fees, and other expenses incurred by Company in connection with any insolvency, bankruptcy, reorganization, arrangement, or other similar proceedings involving Seller that in any way affect the exercise by Company of its rights and remedies hereunder.</w:t>
      </w:r>
    </w:p>
    <w:p w:rsidR="0079779A" w:rsidRDefault="003E5439" w14:paraId="55FB14BF" w14:textId="77777777">
      <w:pPr>
        <w:spacing w:after="240"/>
        <w:ind w:firstLine="720"/>
        <w:jc w:val="both"/>
        <w:rPr>
          <w:rFonts w:cs="Arial"/>
        </w:rPr>
      </w:pPr>
      <w:r>
        <w:rPr>
          <w:rFonts w:cs="Arial"/>
        </w:rPr>
        <w:t>11.</w:t>
      </w:r>
      <w:r>
        <w:rPr>
          <w:rFonts w:cs="Arial"/>
        </w:rPr>
        <w:tab/>
      </w:r>
      <w:r>
        <w:rPr>
          <w:rFonts w:cs="Arial"/>
          <w:u w:val="single"/>
        </w:rPr>
        <w:t>Severability</w:t>
      </w:r>
      <w:r>
        <w:rPr>
          <w:rFonts w:cs="Arial"/>
        </w:rPr>
        <w:t>.  Should any one or more provisions of this Guaranty be determined to be illegal or unenforceable, all other provisions nevertheless shall be effective.</w:t>
      </w:r>
    </w:p>
    <w:p w:rsidR="0079779A" w:rsidRDefault="003E5439" w14:paraId="1C57C924" w14:textId="77777777">
      <w:pPr>
        <w:spacing w:after="240"/>
        <w:ind w:firstLine="720"/>
        <w:jc w:val="both"/>
        <w:rPr>
          <w:rFonts w:cs="Arial"/>
        </w:rPr>
      </w:pPr>
      <w:r>
        <w:rPr>
          <w:rFonts w:cs="Arial"/>
        </w:rPr>
        <w:t>12.</w:t>
      </w:r>
      <w:r>
        <w:rPr>
          <w:rFonts w:cs="Arial"/>
        </w:rPr>
        <w:tab/>
      </w:r>
      <w:r>
        <w:rPr>
          <w:rFonts w:cs="Arial"/>
          <w:u w:val="single"/>
        </w:rPr>
        <w:t>Waiver or Amendment</w:t>
      </w:r>
      <w:r>
        <w:rPr>
          <w:rFonts w:cs="Arial"/>
        </w:rPr>
        <w:t>.  No provision of this Guaranty or right of Company hereunder can be waived, nor can Guarantor be released from Guarantor’s duties hereunder, except by a writing duly executed by Company.  This Guaranty may not be modified, amended, revised, revoked, terminated, changed, or varied in any way whatsoever except by the express terms of a writing duly executed by Company.</w:t>
      </w:r>
    </w:p>
    <w:p w:rsidR="0079779A" w:rsidRDefault="003E5439" w14:paraId="6ECC372D" w14:textId="77777777">
      <w:pPr>
        <w:spacing w:after="240"/>
        <w:ind w:firstLine="720"/>
        <w:jc w:val="both"/>
        <w:rPr>
          <w:rFonts w:cs="Arial"/>
        </w:rPr>
      </w:pPr>
      <w:r>
        <w:rPr>
          <w:rFonts w:cs="Arial"/>
        </w:rPr>
        <w:t>13.</w:t>
      </w:r>
      <w:r>
        <w:rPr>
          <w:rFonts w:cs="Arial"/>
        </w:rPr>
        <w:tab/>
      </w:r>
      <w:r>
        <w:rPr>
          <w:rFonts w:cs="Arial"/>
          <w:u w:val="single"/>
        </w:rPr>
        <w:t>Successors and Assigns</w:t>
      </w:r>
      <w:r>
        <w:rPr>
          <w:rFonts w:cs="Arial"/>
        </w:rPr>
        <w:t>.  This Guaranty shall inure to the benefit of and bind the successors and assigns of Company and Guarantor.</w:t>
      </w:r>
    </w:p>
    <w:p w:rsidR="0079779A" w:rsidRDefault="003E5439" w14:paraId="2B6DB608" w14:textId="77777777">
      <w:pPr>
        <w:spacing w:after="240"/>
        <w:ind w:firstLine="720"/>
        <w:jc w:val="both"/>
        <w:rPr>
          <w:rFonts w:cs="Arial"/>
        </w:rPr>
      </w:pPr>
      <w:r>
        <w:rPr>
          <w:rFonts w:cs="Arial"/>
        </w:rPr>
        <w:t>14.</w:t>
      </w:r>
      <w:r>
        <w:rPr>
          <w:rFonts w:cs="Arial"/>
        </w:rPr>
        <w:tab/>
      </w:r>
      <w:r>
        <w:rPr>
          <w:rFonts w:cs="Arial"/>
          <w:u w:val="single"/>
        </w:rPr>
        <w:t>Governing Law</w:t>
      </w:r>
      <w:r>
        <w:rPr>
          <w:rFonts w:cs="Arial"/>
        </w:rPr>
        <w:t>.  This Guaranty shall be governed by and construed in accordance with the law of the State of [</w:t>
      </w:r>
      <w:r>
        <w:rPr>
          <w:rFonts w:cs="Arial"/>
          <w:i/>
        </w:rPr>
        <w:t>insert home state of Company</w:t>
      </w:r>
      <w:r>
        <w:rPr>
          <w:rFonts w:cs="Arial"/>
        </w:rPr>
        <w:t>] without regard to the principles of conflicts of law thereof.  Venue for any dispute hereunder shall be as set forth in Section 13.5 of the PPA.</w:t>
      </w:r>
    </w:p>
    <w:p w:rsidR="0079779A" w:rsidRDefault="003E5439" w14:paraId="2AED0DF9" w14:textId="77777777">
      <w:pPr>
        <w:spacing w:after="240"/>
        <w:ind w:firstLine="720"/>
        <w:jc w:val="both"/>
        <w:rPr>
          <w:rFonts w:cs="Arial"/>
        </w:rPr>
      </w:pPr>
      <w:r>
        <w:rPr>
          <w:rFonts w:cs="Arial"/>
        </w:rPr>
        <w:t>15.</w:t>
      </w:r>
      <w:r>
        <w:rPr>
          <w:rFonts w:cs="Arial"/>
        </w:rPr>
        <w:tab/>
      </w:r>
      <w:r>
        <w:rPr>
          <w:rFonts w:cs="Arial"/>
          <w:u w:val="single"/>
        </w:rPr>
        <w:t>Notices</w:t>
      </w:r>
      <w:r>
        <w:rPr>
          <w:rFonts w:cs="Arial"/>
        </w:rPr>
        <w:t>.  All notices, requests, claims, demands, and other communications hereunder shall be in writing and shall be given (and shall be deemed to have been duly given upon receipt) by delivery in the manner contemplated by the PPA, addressed as follows:</w:t>
      </w:r>
    </w:p>
    <w:p w:rsidR="0079779A" w:rsidRDefault="003E5439" w14:paraId="633DE4B8" w14:textId="77777777">
      <w:pPr>
        <w:spacing w:after="240"/>
        <w:ind w:left="720"/>
        <w:jc w:val="both"/>
        <w:rPr>
          <w:rFonts w:cs="Arial"/>
        </w:rPr>
      </w:pPr>
      <w:r>
        <w:rPr>
          <w:rFonts w:cs="Arial"/>
        </w:rPr>
        <w:t>(a)</w:t>
      </w:r>
      <w:r>
        <w:rPr>
          <w:rFonts w:cs="Arial"/>
        </w:rPr>
        <w:tab/>
      </w:r>
      <w:r>
        <w:rPr>
          <w:rFonts w:cs="Arial"/>
          <w:i/>
          <w:u w:val="single"/>
        </w:rPr>
        <w:t>if to Company</w:t>
      </w:r>
      <w:r>
        <w:rPr>
          <w:rFonts w:cs="Arial"/>
        </w:rPr>
        <w:t xml:space="preserve">:  </w:t>
      </w:r>
      <w:r>
        <w:rPr>
          <w:rFonts w:cs="Arial"/>
        </w:rPr>
        <w:tab/>
        <w:t>as provided in the PPA</w:t>
      </w:r>
    </w:p>
    <w:p w:rsidR="0079779A" w:rsidRDefault="003E5439" w14:paraId="587C49D3" w14:textId="77777777">
      <w:pPr>
        <w:keepNext/>
        <w:keepLines/>
        <w:tabs>
          <w:tab w:val="left" w:pos="0"/>
        </w:tabs>
        <w:ind w:firstLine="720"/>
        <w:rPr>
          <w:rFonts w:cs="Arial"/>
        </w:rPr>
      </w:pPr>
      <w:r>
        <w:rPr>
          <w:rFonts w:cs="Arial"/>
        </w:rPr>
        <w:t>(b)</w:t>
      </w:r>
      <w:r>
        <w:rPr>
          <w:rFonts w:cs="Arial"/>
        </w:rPr>
        <w:tab/>
      </w:r>
      <w:r>
        <w:rPr>
          <w:rFonts w:cs="Arial"/>
          <w:i/>
          <w:u w:val="single"/>
        </w:rPr>
        <w:t>if to Guarantor</w:t>
      </w:r>
      <w:r>
        <w:rPr>
          <w:rFonts w:cs="Arial"/>
        </w:rPr>
        <w:t>:</w:t>
      </w:r>
      <w:r>
        <w:rPr>
          <w:rFonts w:cs="Arial"/>
        </w:rPr>
        <w:tab/>
        <w:t>__________________</w:t>
      </w:r>
    </w:p>
    <w:p w:rsidR="0079779A" w:rsidRDefault="003E5439" w14:paraId="3328FB78" w14:textId="77777777">
      <w:pPr>
        <w:keepNext/>
        <w:keepLines/>
        <w:tabs>
          <w:tab w:val="left" w:pos="3600"/>
        </w:tabs>
        <w:rPr>
          <w:rFonts w:cs="Arial"/>
        </w:rPr>
      </w:pPr>
      <w:r>
        <w:rPr>
          <w:rFonts w:cs="Arial"/>
        </w:rPr>
        <w:tab/>
        <w:t>__________________</w:t>
      </w:r>
    </w:p>
    <w:p w:rsidR="0079779A" w:rsidRDefault="003E5439" w14:paraId="4643FFF0" w14:textId="77777777">
      <w:pPr>
        <w:keepNext/>
        <w:keepLines/>
        <w:tabs>
          <w:tab w:val="left" w:pos="3600"/>
        </w:tabs>
        <w:rPr>
          <w:rFonts w:cs="Arial"/>
        </w:rPr>
      </w:pPr>
      <w:r>
        <w:rPr>
          <w:rFonts w:cs="Arial"/>
        </w:rPr>
        <w:tab/>
        <w:t>__________________</w:t>
      </w:r>
    </w:p>
    <w:p w:rsidR="0079779A" w:rsidRDefault="003E5439" w14:paraId="39BE6FC2" w14:textId="77777777">
      <w:pPr>
        <w:keepNext/>
        <w:keepLines/>
        <w:tabs>
          <w:tab w:val="left" w:pos="3600"/>
        </w:tabs>
        <w:rPr>
          <w:rFonts w:cs="Arial"/>
        </w:rPr>
      </w:pPr>
      <w:r>
        <w:rPr>
          <w:rFonts w:cs="Arial"/>
          <w:i/>
        </w:rPr>
        <w:tab/>
        <w:t>Attn</w:t>
      </w:r>
      <w:r>
        <w:rPr>
          <w:rFonts w:cs="Arial"/>
        </w:rPr>
        <w:t xml:space="preserve">:  </w:t>
      </w:r>
    </w:p>
    <w:p w:rsidR="0079779A" w:rsidRDefault="0079779A" w14:paraId="59D22996" w14:textId="77777777">
      <w:pPr>
        <w:keepNext/>
        <w:keepLines/>
        <w:tabs>
          <w:tab w:val="left" w:pos="3600"/>
        </w:tabs>
        <w:rPr>
          <w:rFonts w:cs="Arial"/>
        </w:rPr>
      </w:pPr>
    </w:p>
    <w:p w:rsidR="0079779A" w:rsidRDefault="003E5439" w14:paraId="6E923D99" w14:textId="77777777">
      <w:pPr>
        <w:tabs>
          <w:tab w:val="left" w:pos="0"/>
        </w:tabs>
        <w:ind w:firstLine="720"/>
        <w:rPr>
          <w:rFonts w:cs="Arial"/>
        </w:rPr>
      </w:pPr>
      <w:r>
        <w:rPr>
          <w:rFonts w:cs="Arial"/>
          <w:i/>
        </w:rPr>
        <w:tab/>
        <w:t xml:space="preserve">      with a copy to: </w:t>
      </w:r>
      <w:r>
        <w:rPr>
          <w:rFonts w:cs="Arial"/>
        </w:rPr>
        <w:t xml:space="preserve"> </w:t>
      </w:r>
      <w:r>
        <w:rPr>
          <w:rFonts w:cs="Arial"/>
        </w:rPr>
        <w:tab/>
        <w:t>___________________</w:t>
      </w:r>
    </w:p>
    <w:p w:rsidR="0079779A" w:rsidRDefault="003E5439" w14:paraId="7B521C2D" w14:textId="77777777">
      <w:pPr>
        <w:tabs>
          <w:tab w:val="left" w:pos="3600"/>
        </w:tabs>
        <w:rPr>
          <w:rFonts w:cs="Arial"/>
        </w:rPr>
      </w:pPr>
      <w:r>
        <w:rPr>
          <w:rFonts w:cs="Arial"/>
        </w:rPr>
        <w:tab/>
        <w:t>___________________</w:t>
      </w:r>
    </w:p>
    <w:p w:rsidR="0079779A" w:rsidRDefault="003E5439" w14:paraId="180FE575" w14:textId="77777777">
      <w:pPr>
        <w:tabs>
          <w:tab w:val="left" w:pos="3600"/>
        </w:tabs>
        <w:rPr>
          <w:rFonts w:cs="Arial"/>
        </w:rPr>
      </w:pPr>
      <w:r>
        <w:rPr>
          <w:rFonts w:cs="Arial"/>
        </w:rPr>
        <w:tab/>
        <w:t>___________________</w:t>
      </w:r>
    </w:p>
    <w:p w:rsidR="0079779A" w:rsidRDefault="003E5439" w14:paraId="34E27DC4" w14:textId="77777777">
      <w:pPr>
        <w:tabs>
          <w:tab w:val="left" w:pos="3600"/>
        </w:tabs>
        <w:rPr>
          <w:rFonts w:cs="Arial"/>
        </w:rPr>
      </w:pPr>
      <w:r>
        <w:rPr>
          <w:rFonts w:cs="Arial"/>
          <w:i/>
        </w:rPr>
        <w:tab/>
        <w:t>Attn</w:t>
      </w:r>
      <w:r>
        <w:rPr>
          <w:rFonts w:cs="Arial"/>
        </w:rPr>
        <w:t xml:space="preserve">:  </w:t>
      </w:r>
    </w:p>
    <w:p w:rsidR="0079779A" w:rsidRDefault="0079779A" w14:paraId="6FFF8DE2" w14:textId="77777777">
      <w:pPr>
        <w:tabs>
          <w:tab w:val="left" w:pos="3600"/>
        </w:tabs>
        <w:rPr>
          <w:rFonts w:cs="Arial"/>
        </w:rPr>
      </w:pPr>
    </w:p>
    <w:p w:rsidR="0079779A" w:rsidRDefault="003E5439" w14:paraId="39F31475" w14:textId="77777777">
      <w:pPr>
        <w:spacing w:after="240"/>
        <w:jc w:val="both"/>
        <w:rPr>
          <w:rFonts w:cs="Arial"/>
        </w:rPr>
      </w:pPr>
      <w:r>
        <w:rPr>
          <w:rFonts w:cs="Arial"/>
        </w:rPr>
        <w:t>or to such other address (es) as the person to whom notice is given may have previously furnished to the others in writing in the manner set forth above.</w:t>
      </w:r>
    </w:p>
    <w:p w:rsidR="0079779A" w:rsidRDefault="003E5439" w14:paraId="3D64A1FF" w14:textId="77777777">
      <w:pPr>
        <w:spacing w:after="240"/>
        <w:ind w:firstLine="720"/>
        <w:jc w:val="both"/>
        <w:rPr>
          <w:rFonts w:cs="Arial"/>
        </w:rPr>
      </w:pPr>
      <w:r>
        <w:rPr>
          <w:rFonts w:cs="Arial"/>
        </w:rPr>
        <w:t>IN WITNESS WHEREOF, Guarantor has caused this Guaranty to be duly executed and delivered to Company as of the day and year first above written.</w:t>
      </w:r>
    </w:p>
    <w:p w:rsidR="0079779A" w:rsidRDefault="003E5439" w14:paraId="58A79724" w14:textId="77777777">
      <w:pPr>
        <w:ind w:firstLine="3600"/>
        <w:rPr>
          <w:rFonts w:cs="Arial"/>
          <w:b/>
        </w:rPr>
      </w:pPr>
      <w:r>
        <w:rPr>
          <w:rFonts w:cs="Arial"/>
          <w:b/>
        </w:rPr>
        <w:lastRenderedPageBreak/>
        <w:t>[Name of Guarantor]</w:t>
      </w:r>
    </w:p>
    <w:p w:rsidR="0079779A" w:rsidRDefault="0079779A" w14:paraId="305E224F" w14:textId="77777777">
      <w:pPr>
        <w:ind w:firstLine="3600"/>
        <w:rPr>
          <w:rFonts w:cs="Arial"/>
        </w:rPr>
      </w:pPr>
    </w:p>
    <w:p w:rsidR="0079779A" w:rsidRDefault="003E5439" w14:paraId="26570F8F" w14:textId="77777777">
      <w:pPr>
        <w:ind w:firstLine="3600"/>
        <w:rPr>
          <w:rFonts w:cs="Arial"/>
        </w:rPr>
      </w:pPr>
      <w:r>
        <w:rPr>
          <w:rFonts w:cs="Arial"/>
        </w:rPr>
        <w:t>By:</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u w:val="single"/>
        </w:rPr>
        <w:tab/>
      </w:r>
    </w:p>
    <w:p w:rsidR="0079779A" w:rsidRDefault="003E5439" w14:paraId="74FCB923" w14:textId="77777777">
      <w:pPr>
        <w:ind w:left="720" w:firstLine="3600"/>
        <w:rPr>
          <w:rFonts w:cs="Arial"/>
        </w:rPr>
      </w:pPr>
      <w:r>
        <w:rPr>
          <w:rFonts w:cs="Arial"/>
        </w:rPr>
        <w:t>Name:</w:t>
      </w:r>
    </w:p>
    <w:p w:rsidR="0079779A" w:rsidRDefault="003E5439" w14:paraId="1E576BE7" w14:textId="77777777">
      <w:pPr>
        <w:spacing w:after="240"/>
        <w:ind w:left="720" w:firstLine="3600"/>
        <w:rPr>
          <w:rFonts w:cs="Arial"/>
        </w:rPr>
      </w:pPr>
      <w:r>
        <w:rPr>
          <w:rFonts w:cs="Arial"/>
        </w:rPr>
        <w:t>Title:</w:t>
      </w:r>
    </w:p>
    <w:p w:rsidR="0079779A" w:rsidRDefault="003E5439" w14:paraId="1AD33DE2" w14:textId="77777777">
      <w:pPr>
        <w:rPr>
          <w:rFonts w:cs="Arial"/>
        </w:rPr>
      </w:pPr>
      <w:r>
        <w:rPr>
          <w:rFonts w:cs="Arial"/>
        </w:rPr>
        <w:t>STATE OF_________________</w:t>
      </w:r>
      <w:r>
        <w:rPr>
          <w:rFonts w:cs="Arial"/>
        </w:rPr>
        <w:tab/>
        <w:t>)</w:t>
      </w:r>
    </w:p>
    <w:p w:rsidR="0079779A" w:rsidRDefault="003E5439" w14:paraId="34F9CD16" w14:textId="77777777">
      <w:pPr>
        <w:rPr>
          <w:rFonts w:cs="Arial"/>
        </w:rPr>
      </w:pPr>
      <w:r>
        <w:rPr>
          <w:rFonts w:cs="Arial"/>
        </w:rPr>
        <w:tab/>
      </w:r>
      <w:r>
        <w:rPr>
          <w:rFonts w:cs="Arial"/>
        </w:rPr>
        <w:tab/>
      </w:r>
      <w:r>
        <w:rPr>
          <w:rFonts w:cs="Arial"/>
        </w:rPr>
        <w:tab/>
      </w:r>
      <w:r>
        <w:rPr>
          <w:rFonts w:cs="Arial"/>
        </w:rPr>
        <w:tab/>
      </w:r>
      <w:r>
        <w:rPr>
          <w:rFonts w:cs="Arial"/>
        </w:rPr>
        <w:tab/>
      </w:r>
      <w:proofErr w:type="gramStart"/>
      <w:r>
        <w:rPr>
          <w:rFonts w:cs="Arial"/>
        </w:rPr>
        <w:t>)  ss.</w:t>
      </w:r>
      <w:proofErr w:type="gramEnd"/>
    </w:p>
    <w:p w:rsidR="0079779A" w:rsidRDefault="003E5439" w14:paraId="6E3D917E" w14:textId="77777777">
      <w:pPr>
        <w:spacing w:after="240"/>
        <w:rPr>
          <w:rFonts w:cs="Arial"/>
        </w:rPr>
      </w:pPr>
      <w:r>
        <w:rPr>
          <w:rFonts w:cs="Arial"/>
        </w:rPr>
        <w:t>COUNTY OF ______________</w:t>
      </w:r>
      <w:r>
        <w:rPr>
          <w:rFonts w:cs="Arial"/>
        </w:rPr>
        <w:tab/>
        <w:t>)</w:t>
      </w:r>
    </w:p>
    <w:p w:rsidR="0079779A" w:rsidRDefault="003E5439" w14:paraId="4B037A12" w14:textId="77777777">
      <w:pPr>
        <w:spacing w:after="240"/>
        <w:ind w:firstLine="720"/>
        <w:rPr>
          <w:rFonts w:cs="Arial"/>
        </w:rPr>
      </w:pPr>
      <w:r>
        <w:rPr>
          <w:rFonts w:cs="Arial"/>
        </w:rPr>
        <w:t>The foregoing instrument was acknowledged before me this _____ day of __________, 20__, by _____________________________, as __________________ of ____________________________.</w:t>
      </w:r>
    </w:p>
    <w:p w:rsidR="0079779A" w:rsidRDefault="003E5439" w14:paraId="5F6EE293" w14:textId="77777777">
      <w:pPr>
        <w:spacing w:after="120"/>
        <w:rPr>
          <w:rFonts w:cs="Arial"/>
        </w:rPr>
      </w:pPr>
      <w:r>
        <w:rPr>
          <w:rFonts w:cs="Arial"/>
        </w:rPr>
        <w:tab/>
      </w:r>
      <w:r>
        <w:rPr>
          <w:rFonts w:cs="Arial"/>
        </w:rPr>
        <w:tab/>
      </w:r>
      <w:r>
        <w:rPr>
          <w:rFonts w:cs="Arial"/>
        </w:rPr>
        <w:tab/>
        <w:t>Witness my hand and official seal.</w:t>
      </w:r>
    </w:p>
    <w:p w:rsidR="0079779A" w:rsidRDefault="003E5439" w14:paraId="3BF6F9AB" w14:textId="77777777">
      <w:pPr>
        <w:rPr>
          <w:rFonts w:cs="Arial"/>
        </w:rPr>
      </w:pPr>
      <w:r>
        <w:rPr>
          <w:rFonts w:cs="Arial"/>
        </w:rPr>
        <w:tab/>
      </w:r>
      <w:r>
        <w:rPr>
          <w:rFonts w:cs="Arial"/>
        </w:rPr>
        <w:tab/>
        <w:t>My commission expires:</w:t>
      </w:r>
      <w:r>
        <w:rPr>
          <w:rFonts w:cs="Arial"/>
          <w:u w:val="single"/>
        </w:rPr>
        <w:tab/>
      </w:r>
      <w:r>
        <w:rPr>
          <w:rFonts w:cs="Arial"/>
          <w:u w:val="single"/>
        </w:rPr>
        <w:tab/>
      </w:r>
      <w:r>
        <w:rPr>
          <w:rFonts w:cs="Arial"/>
          <w:u w:val="single"/>
        </w:rPr>
        <w:tab/>
      </w:r>
      <w:r>
        <w:rPr>
          <w:rFonts w:cs="Arial"/>
          <w:u w:val="single"/>
        </w:rPr>
        <w:tab/>
      </w:r>
      <w:r>
        <w:rPr>
          <w:rFonts w:cs="Arial"/>
          <w:u w:val="single"/>
        </w:rPr>
        <w:tab/>
      </w:r>
      <w:r>
        <w:rPr>
          <w:rFonts w:cs="Arial"/>
        </w:rPr>
        <w:t>.</w:t>
      </w:r>
    </w:p>
    <w:p w:rsidR="0079779A" w:rsidRDefault="0079779A" w14:paraId="0CD4EDEA" w14:textId="77777777">
      <w:pPr>
        <w:rPr>
          <w:rFonts w:cs="Arial"/>
        </w:rPr>
      </w:pPr>
    </w:p>
    <w:p w:rsidR="0079779A" w:rsidRDefault="0079779A" w14:paraId="5FB7E6D9" w14:textId="77777777">
      <w:pPr>
        <w:rPr>
          <w:rFonts w:cs="Arial"/>
        </w:rPr>
      </w:pPr>
    </w:p>
    <w:p w:rsidR="0079779A" w:rsidRDefault="003E5439" w14:paraId="2D1FFF8E" w14:textId="77777777">
      <w:pPr>
        <w:rPr>
          <w:rFonts w:cs="Arial"/>
          <w:u w:val="single"/>
        </w:rPr>
      </w:pPr>
      <w:r>
        <w:rPr>
          <w:rFonts w:cs="Arial"/>
        </w:rPr>
        <w:t xml:space="preserve">   </w:t>
      </w:r>
      <w:proofErr w:type="gramStart"/>
      <w:r>
        <w:rPr>
          <w:rFonts w:cs="Arial"/>
        </w:rPr>
        <w:t>( S</w:t>
      </w:r>
      <w:proofErr w:type="gramEnd"/>
      <w:r>
        <w:rPr>
          <w:rFonts w:cs="Arial"/>
        </w:rPr>
        <w:t xml:space="preserve"> E A L )</w:t>
      </w:r>
      <w:r>
        <w:rPr>
          <w:rFonts w:cs="Arial"/>
        </w:rPr>
        <w:tab/>
      </w:r>
      <w:r>
        <w:rPr>
          <w:rFonts w:cs="Arial"/>
        </w:rPr>
        <w:tab/>
      </w:r>
      <w:r>
        <w:rPr>
          <w:rFonts w:cs="Arial"/>
        </w:rPr>
        <w:tab/>
      </w:r>
      <w:r>
        <w:rPr>
          <w:rFonts w:cs="Arial"/>
        </w:rPr>
        <w:tab/>
      </w:r>
      <w:r>
        <w:rPr>
          <w:rFonts w:cs="Arial"/>
        </w:rPr>
        <w:tab/>
        <w:t>_______________________________</w:t>
      </w:r>
    </w:p>
    <w:p w:rsidR="0079779A" w:rsidRDefault="003E5439" w14:paraId="3F9BB391" w14:textId="77777777">
      <w:pPr>
        <w:rPr>
          <w:rFonts w:cs="Arial"/>
        </w:rPr>
      </w:pPr>
      <w:r>
        <w:rPr>
          <w:rFonts w:cs="Arial"/>
        </w:rPr>
        <w:tab/>
      </w:r>
      <w:r>
        <w:rPr>
          <w:rFonts w:cs="Arial"/>
        </w:rPr>
        <w:tab/>
      </w:r>
      <w:r>
        <w:rPr>
          <w:rFonts w:cs="Arial"/>
        </w:rPr>
        <w:tab/>
      </w:r>
      <w:r>
        <w:rPr>
          <w:rFonts w:cs="Arial"/>
        </w:rPr>
        <w:tab/>
      </w:r>
      <w:r>
        <w:rPr>
          <w:rFonts w:cs="Arial"/>
        </w:rPr>
        <w:tab/>
      </w:r>
      <w:r>
        <w:rPr>
          <w:rFonts w:cs="Arial"/>
        </w:rPr>
        <w:tab/>
      </w:r>
      <w:r>
        <w:rPr>
          <w:rFonts w:cs="Arial"/>
        </w:rPr>
        <w:tab/>
        <w:t xml:space="preserve">        Notary Public</w:t>
      </w:r>
    </w:p>
    <w:p w:rsidR="0079779A" w:rsidRDefault="0079779A" w14:paraId="5344985E" w14:textId="77777777">
      <w:pPr>
        <w:rPr>
          <w:rFonts w:cs="Arial"/>
        </w:rPr>
      </w:pPr>
    </w:p>
    <w:p w:rsidR="0079779A" w:rsidRDefault="0079779A" w14:paraId="09962E0F" w14:textId="77777777">
      <w:pPr>
        <w:rPr>
          <w:rFonts w:cs="Arial"/>
        </w:rPr>
        <w:sectPr w:rsidR="0079779A">
          <w:footerReference w:type="default" r:id="rId43"/>
          <w:pgSz w:w="12240" w:h="15840" w:code="1"/>
          <w:pgMar w:top="1440" w:right="1440" w:bottom="1440" w:left="1440" w:header="720" w:footer="720" w:gutter="0"/>
          <w:pgNumType w:start="1"/>
          <w:cols w:space="720"/>
        </w:sectPr>
      </w:pPr>
    </w:p>
    <w:p w:rsidR="0079779A" w:rsidRDefault="003E5439" w14:paraId="6171BC1B" w14:textId="77777777">
      <w:pPr>
        <w:pageBreakBefore/>
        <w:spacing w:after="120"/>
        <w:jc w:val="center"/>
        <w:rPr>
          <w:rFonts w:cs="Arial"/>
          <w:b/>
        </w:rPr>
      </w:pPr>
      <w:r>
        <w:rPr>
          <w:rFonts w:cs="Arial"/>
          <w:b/>
        </w:rPr>
        <w:lastRenderedPageBreak/>
        <w:t xml:space="preserve">EXHIBIT I </w:t>
      </w:r>
    </w:p>
    <w:p w:rsidR="0079779A" w:rsidRDefault="003E5439" w14:paraId="634A3CA9" w14:textId="77777777">
      <w:pPr>
        <w:spacing w:after="120"/>
        <w:jc w:val="center"/>
        <w:rPr>
          <w:rFonts w:cs="Arial"/>
        </w:rPr>
      </w:pPr>
      <w:r>
        <w:rPr>
          <w:rFonts w:cs="Arial"/>
          <w:i/>
        </w:rPr>
        <w:t xml:space="preserve"> </w:t>
      </w:r>
      <w:r>
        <w:rPr>
          <w:rFonts w:cs="Arial"/>
          <w:b/>
        </w:rPr>
        <w:t xml:space="preserve">AGC </w:t>
      </w:r>
      <w:proofErr w:type="gramStart"/>
      <w:r>
        <w:rPr>
          <w:rFonts w:cs="Arial"/>
          <w:b/>
        </w:rPr>
        <w:t>PROTOCOLS;  DISPATCH</w:t>
      </w:r>
      <w:proofErr w:type="gramEnd"/>
      <w:r>
        <w:rPr>
          <w:rFonts w:cs="Arial"/>
          <w:b/>
        </w:rPr>
        <w:t xml:space="preserve"> AND AVAILABILITY NOTICES; DATA COLLECTION;  TECHNICAL SPECIFICATIONS</w:t>
      </w:r>
      <w:r>
        <w:rPr>
          <w:rFonts w:cs="Arial"/>
          <w:b/>
        </w:rPr>
        <w:fldChar w:fldCharType="begin"/>
      </w:r>
      <w:r>
        <w:rPr>
          <w:rFonts w:cs="Arial"/>
        </w:rPr>
        <w:instrText xml:space="preserve"> TC \l "1"</w:instrText>
      </w:r>
      <w:r>
        <w:rPr>
          <w:rFonts w:cs="Arial"/>
          <w:b/>
        </w:rPr>
        <w:fldChar w:fldCharType="end"/>
      </w:r>
    </w:p>
    <w:p w:rsidR="0079779A" w:rsidRDefault="0079779A" w14:paraId="32060BF8" w14:textId="77777777">
      <w:pPr>
        <w:jc w:val="center"/>
        <w:rPr>
          <w:rFonts w:cs="Arial"/>
        </w:rPr>
      </w:pPr>
    </w:p>
    <w:p w:rsidR="0079779A" w:rsidRDefault="003E5439" w14:paraId="2D05E424" w14:textId="77777777">
      <w:pPr>
        <w:spacing w:after="240"/>
        <w:jc w:val="both"/>
        <w:rPr>
          <w:b/>
          <w:u w:val="single"/>
        </w:rPr>
      </w:pPr>
      <w:r>
        <w:rPr>
          <w:b/>
          <w:u w:val="single"/>
        </w:rPr>
        <w:t>AGC</w:t>
      </w:r>
    </w:p>
    <w:p w:rsidR="0079779A" w:rsidRDefault="003E5439" w14:paraId="560DF1A6" w14:textId="77777777">
      <w:pPr>
        <w:keepNext/>
        <w:numPr>
          <w:ilvl w:val="0"/>
          <w:numId w:val="30"/>
        </w:numPr>
        <w:spacing w:after="240"/>
        <w:ind w:left="0" w:firstLine="360"/>
        <w:jc w:val="both"/>
      </w:pPr>
      <w:r>
        <w:rPr>
          <w:b/>
        </w:rPr>
        <w:t>AGC Communications between Company and Seller</w:t>
      </w:r>
      <w:r>
        <w:rPr>
          <w:bCs/>
        </w:rPr>
        <w:t xml:space="preserve">.  </w:t>
      </w:r>
      <w:r>
        <w:t>Company will receive and send AGC Set-Point and related data over a secure analog or digital line.  The data points covered under this PPA, as described below, may overlap data requirements for the Transmission Authority or Company’s applicable forecasting group.</w:t>
      </w:r>
    </w:p>
    <w:p w:rsidR="0079779A" w:rsidRDefault="0079779A" w14:paraId="6FFC4C76" w14:textId="77777777">
      <w:pPr>
        <w:jc w:val="center"/>
        <w:rPr>
          <w:b/>
        </w:rPr>
      </w:pPr>
    </w:p>
    <w:tbl>
      <w:tblPr>
        <w:tblpPr w:leftFromText="180" w:rightFromText="180" w:bottomFromText="115" w:vertAnchor="text" w:horzAnchor="margin" w:tblpY="182"/>
        <w:tblW w:w="9890" w:type="dxa"/>
        <w:tblCellMar>
          <w:left w:w="0" w:type="dxa"/>
          <w:right w:w="0" w:type="dxa"/>
        </w:tblCellMar>
        <w:tblLook w:val="04A0" w:firstRow="1" w:lastRow="0" w:firstColumn="1" w:lastColumn="0" w:noHBand="0" w:noVBand="1"/>
      </w:tblPr>
      <w:tblGrid>
        <w:gridCol w:w="3193"/>
        <w:gridCol w:w="942"/>
        <w:gridCol w:w="4058"/>
        <w:gridCol w:w="1697"/>
      </w:tblGrid>
      <w:tr w:rsidR="0079779A" w14:paraId="675BA596" w14:textId="77777777">
        <w:trPr>
          <w:trHeight w:val="208"/>
        </w:trPr>
        <w:tc>
          <w:tcPr>
            <w:tcW w:w="4135"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3D0E3EEE" w14:textId="77777777">
            <w:pPr>
              <w:spacing w:line="252" w:lineRule="auto"/>
              <w:jc w:val="center"/>
              <w:rPr>
                <w:u w:val="single"/>
              </w:rPr>
            </w:pPr>
            <w:r>
              <w:rPr>
                <w:u w:val="single"/>
              </w:rPr>
              <w:t>Facility</w:t>
            </w:r>
          </w:p>
        </w:tc>
        <w:tc>
          <w:tcPr>
            <w:tcW w:w="5755"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hideMark/>
          </w:tcPr>
          <w:p w:rsidR="0079779A" w:rsidRDefault="0079779A" w14:paraId="6691183C" w14:textId="77777777">
            <w:pPr>
              <w:spacing w:line="252" w:lineRule="auto"/>
              <w:jc w:val="center"/>
              <w:rPr>
                <w:u w:val="single"/>
              </w:rPr>
            </w:pPr>
          </w:p>
        </w:tc>
      </w:tr>
      <w:tr w:rsidR="0079779A" w14:paraId="2B70367F" w14:textId="77777777">
        <w:trPr>
          <w:trHeight w:val="208"/>
        </w:trPr>
        <w:tc>
          <w:tcPr>
            <w:tcW w:w="319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hideMark/>
          </w:tcPr>
          <w:p w:rsidR="0079779A" w:rsidRDefault="003E5439" w14:paraId="41EC6BFF" w14:textId="77777777">
            <w:pPr>
              <w:spacing w:line="252" w:lineRule="auto"/>
              <w:jc w:val="center"/>
              <w:rPr>
                <w:u w:val="single"/>
              </w:rPr>
            </w:pPr>
            <w:r>
              <w:rPr>
                <w:u w:val="single"/>
              </w:rPr>
              <w:t>Description</w:t>
            </w:r>
          </w:p>
        </w:tc>
        <w:tc>
          <w:tcPr>
            <w:tcW w:w="942"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0079779A" w:rsidRDefault="003E5439" w14:paraId="25F7DCD2" w14:textId="77777777">
            <w:pPr>
              <w:spacing w:line="252" w:lineRule="auto"/>
              <w:jc w:val="center"/>
              <w:rPr>
                <w:u w:val="single"/>
              </w:rPr>
            </w:pPr>
            <w:r>
              <w:rPr>
                <w:u w:val="single"/>
              </w:rPr>
              <w:t>Units</w:t>
            </w:r>
          </w:p>
        </w:tc>
        <w:tc>
          <w:tcPr>
            <w:tcW w:w="4058"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30DF2D32" w14:textId="77777777">
            <w:pPr>
              <w:spacing w:line="252" w:lineRule="auto"/>
              <w:jc w:val="center"/>
              <w:rPr>
                <w:u w:val="single"/>
              </w:rPr>
            </w:pPr>
            <w:r>
              <w:rPr>
                <w:u w:val="single"/>
              </w:rPr>
              <w:t>Description</w:t>
            </w:r>
          </w:p>
        </w:tc>
        <w:tc>
          <w:tcPr>
            <w:tcW w:w="169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7CD5A6E2" w14:textId="77777777">
            <w:pPr>
              <w:spacing w:line="252" w:lineRule="auto"/>
              <w:jc w:val="center"/>
              <w:rPr>
                <w:u w:val="single"/>
              </w:rPr>
            </w:pPr>
            <w:r>
              <w:rPr>
                <w:u w:val="single"/>
              </w:rPr>
              <w:t>Units</w:t>
            </w:r>
          </w:p>
        </w:tc>
      </w:tr>
      <w:tr w:rsidR="0079779A" w14:paraId="5CB983BB" w14:textId="77777777">
        <w:trPr>
          <w:trHeight w:val="200"/>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0AE76C7F" w14:textId="77777777">
            <w:pPr>
              <w:spacing w:line="252" w:lineRule="auto"/>
            </w:pPr>
            <w:r>
              <w:t xml:space="preserve">Actual Real Power </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6B3A0D1D" w14:textId="77777777">
            <w:pPr>
              <w:spacing w:line="252" w:lineRule="auto"/>
            </w:pPr>
            <w:r>
              <w:t>MW</w:t>
            </w: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0079779A" w:rsidRDefault="003E5439" w14:paraId="2D160E98" w14:textId="77777777">
            <w:pPr>
              <w:spacing w:line="252" w:lineRule="auto"/>
            </w:pPr>
            <w:r>
              <w:t>AGC Set-Point (echo)</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0079779A" w:rsidRDefault="003E5439" w14:paraId="423A96D7" w14:textId="77777777">
            <w:pPr>
              <w:spacing w:line="252" w:lineRule="auto"/>
            </w:pPr>
            <w:r>
              <w:t>MW</w:t>
            </w:r>
          </w:p>
        </w:tc>
      </w:tr>
      <w:tr w:rsidR="0079779A" w14:paraId="2A3B564C" w14:textId="77777777">
        <w:trPr>
          <w:trHeight w:val="208"/>
        </w:trPr>
        <w:tc>
          <w:tcPr>
            <w:tcW w:w="319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hideMark/>
          </w:tcPr>
          <w:p w:rsidR="0079779A" w:rsidRDefault="003E5439" w14:paraId="53FF7DAA" w14:textId="77777777">
            <w:pPr>
              <w:spacing w:line="252" w:lineRule="auto"/>
            </w:pPr>
            <w:r>
              <w:t xml:space="preserve">Actual Reactive Power </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0B84CFB5" w14:textId="77777777">
            <w:pPr>
              <w:spacing w:line="252" w:lineRule="auto"/>
            </w:pPr>
            <w:proofErr w:type="spellStart"/>
            <w:r>
              <w:t>MVar</w:t>
            </w:r>
            <w:proofErr w:type="spellEnd"/>
          </w:p>
        </w:tc>
        <w:tc>
          <w:tcPr>
            <w:tcW w:w="4058"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01210A48" w14:textId="77777777">
            <w:pPr>
              <w:spacing w:line="252" w:lineRule="auto"/>
            </w:pPr>
            <w:r>
              <w:t>Actual Real Power</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hideMark/>
          </w:tcPr>
          <w:p w:rsidR="0079779A" w:rsidRDefault="003E5439" w14:paraId="6B94101F" w14:textId="77777777">
            <w:pPr>
              <w:spacing w:line="252" w:lineRule="auto"/>
            </w:pPr>
            <w:r>
              <w:t>MW</w:t>
            </w:r>
          </w:p>
        </w:tc>
      </w:tr>
      <w:tr w:rsidR="0079779A" w14:paraId="0BC2C571" w14:textId="77777777">
        <w:trPr>
          <w:trHeight w:val="208"/>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416A6951" w14:textId="77777777">
            <w:pPr>
              <w:spacing w:line="252" w:lineRule="auto"/>
            </w:pPr>
            <w:r>
              <w:t>Average Voltage (at high voltage interconnection)</w:t>
            </w:r>
          </w:p>
        </w:tc>
        <w:tc>
          <w:tcPr>
            <w:tcW w:w="942"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2A571BBF" w14:textId="77777777">
            <w:pPr>
              <w:spacing w:line="252" w:lineRule="auto"/>
            </w:pPr>
            <w:r>
              <w:t>kV</w:t>
            </w: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rsidR="0079779A" w:rsidRDefault="003E5439" w14:paraId="6AD047A0" w14:textId="77777777">
            <w:pPr>
              <w:spacing w:line="252" w:lineRule="auto"/>
            </w:pPr>
            <w:r>
              <w:t xml:space="preserve">Actual Reactive Power </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rsidR="0079779A" w:rsidRDefault="003E5439" w14:paraId="5358ABC7" w14:textId="77777777">
            <w:pPr>
              <w:spacing w:line="252" w:lineRule="auto"/>
            </w:pPr>
            <w:proofErr w:type="spellStart"/>
            <w:r>
              <w:t>MVar</w:t>
            </w:r>
            <w:proofErr w:type="spellEnd"/>
          </w:p>
        </w:tc>
      </w:tr>
      <w:tr w:rsidR="0079779A" w14:paraId="029F1E99" w14:textId="77777777">
        <w:trPr>
          <w:trHeight w:val="208"/>
        </w:trPr>
        <w:tc>
          <w:tcPr>
            <w:tcW w:w="3193"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79779A" w:rsidRDefault="0079779A" w14:paraId="4A1D32DA" w14:textId="77777777">
            <w:pPr>
              <w:spacing w:line="252" w:lineRule="auto"/>
            </w:pPr>
          </w:p>
        </w:tc>
        <w:tc>
          <w:tcPr>
            <w:tcW w:w="942" w:type="dxa"/>
            <w:tcBorders>
              <w:top w:val="nil"/>
              <w:left w:val="nil"/>
              <w:bottom w:val="single" w:color="auto" w:sz="8" w:space="0"/>
              <w:right w:val="single" w:color="auto" w:sz="8" w:space="0"/>
            </w:tcBorders>
            <w:tcMar>
              <w:top w:w="0" w:type="dxa"/>
              <w:left w:w="108" w:type="dxa"/>
              <w:bottom w:w="0" w:type="dxa"/>
              <w:right w:w="108" w:type="dxa"/>
            </w:tcMar>
          </w:tcPr>
          <w:p w:rsidR="0079779A" w:rsidRDefault="0079779A" w14:paraId="5D34B4E1" w14:textId="77777777">
            <w:pPr>
              <w:spacing w:line="252" w:lineRule="auto"/>
            </w:pPr>
          </w:p>
        </w:tc>
        <w:tc>
          <w:tcPr>
            <w:tcW w:w="4058"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rsidR="0079779A" w:rsidRDefault="003E5439" w14:paraId="4A0BF3DB" w14:textId="77777777">
            <w:pPr>
              <w:spacing w:line="252" w:lineRule="auto"/>
            </w:pPr>
            <w:r>
              <w:t>AGC Status</w:t>
            </w:r>
          </w:p>
        </w:tc>
        <w:tc>
          <w:tcPr>
            <w:tcW w:w="1697"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rsidR="0079779A" w:rsidRDefault="003E5439" w14:paraId="4796E369" w14:textId="77777777">
            <w:pPr>
              <w:spacing w:line="252" w:lineRule="auto"/>
            </w:pPr>
            <w:r>
              <w:t>Remote/Local</w:t>
            </w:r>
          </w:p>
        </w:tc>
      </w:tr>
    </w:tbl>
    <w:p w:rsidR="0079779A" w:rsidRDefault="0079779A" w14:paraId="2D6572D4" w14:textId="77777777">
      <w:pPr>
        <w:jc w:val="center"/>
        <w:rPr>
          <w:b/>
          <w:bCs/>
        </w:rPr>
      </w:pPr>
    </w:p>
    <w:p w:rsidR="0079779A" w:rsidRDefault="003E5439" w14:paraId="27F2FF0B" w14:textId="77777777">
      <w:pPr>
        <w:keepNext/>
        <w:numPr>
          <w:ilvl w:val="0"/>
          <w:numId w:val="30"/>
        </w:numPr>
        <w:spacing w:after="240"/>
        <w:jc w:val="both"/>
      </w:pPr>
      <w:r>
        <w:rPr>
          <w:b/>
        </w:rPr>
        <w:t xml:space="preserve">Response times and limitations of Facility </w:t>
      </w:r>
      <w:proofErr w:type="gramStart"/>
      <w:r>
        <w:rPr>
          <w:b/>
        </w:rPr>
        <w:t>in regards to</w:t>
      </w:r>
      <w:proofErr w:type="gramEnd"/>
      <w:r>
        <w:rPr>
          <w:b/>
        </w:rPr>
        <w:t xml:space="preserve"> AGC</w:t>
      </w:r>
      <w:r>
        <w:rPr>
          <w:bCs/>
        </w:rPr>
        <w:t xml:space="preserve">.  </w:t>
      </w:r>
      <w:r>
        <w:t xml:space="preserve">The following protocols outline the expectations for responding to the AGC Set-Point.  Except in the case of the frequency changes, these protocols will be generally bound by the manufacturers’ specifications for the equipment that Seller has chosen for the Battery Energy Storage Facility. </w:t>
      </w:r>
    </w:p>
    <w:p w:rsidR="0079779A" w:rsidRDefault="003E5439" w14:paraId="302F132D" w14:textId="77777777">
      <w:pPr>
        <w:numPr>
          <w:ilvl w:val="0"/>
          <w:numId w:val="31"/>
        </w:numPr>
        <w:spacing w:after="240"/>
        <w:ind w:left="0" w:firstLine="720"/>
        <w:jc w:val="both"/>
      </w:pPr>
      <w:r>
        <w:rPr>
          <w:u w:val="single"/>
        </w:rPr>
        <w:t>Allowable Variances in Excess of AGC Set-Point</w:t>
      </w:r>
      <w:r>
        <w:t>.  Once the Battery Energy Storage Facility has reached the AGC Set-Point, the Battery Energy Storage Facility output may not vary from the AGC Set-Point by more than 2% on average as measured during a 5-minute period.</w:t>
      </w:r>
    </w:p>
    <w:p w:rsidR="0079779A" w:rsidRDefault="003E5439" w14:paraId="18FF7872" w14:textId="77777777">
      <w:pPr>
        <w:numPr>
          <w:ilvl w:val="0"/>
          <w:numId w:val="31"/>
        </w:numPr>
        <w:spacing w:after="240"/>
        <w:jc w:val="both"/>
      </w:pPr>
      <w:r>
        <w:rPr>
          <w:u w:val="single"/>
        </w:rPr>
        <w:t>Range of AGC Set-Point</w:t>
      </w:r>
      <w:r>
        <w:t>.  The range of set-point values can be between 0% and 100% of Park Potential.</w:t>
      </w:r>
    </w:p>
    <w:p w:rsidR="0079779A" w:rsidRDefault="003E5439" w14:paraId="1BBC71C0" w14:textId="77777777">
      <w:pPr>
        <w:numPr>
          <w:ilvl w:val="0"/>
          <w:numId w:val="30"/>
        </w:numPr>
        <w:spacing w:after="300"/>
        <w:jc w:val="both"/>
        <w:outlineLvl w:val="0"/>
        <w:rPr>
          <w:rFonts w:cs="Arial"/>
          <w:bCs/>
          <w:i/>
          <w:color w:val="FF0000"/>
        </w:rPr>
      </w:pPr>
      <w:r>
        <w:rPr>
          <w:b/>
        </w:rPr>
        <w:t>Backup Communications</w:t>
      </w:r>
      <w:r>
        <w:t>.  In the event of an AGC failure, Company and Seller shall communicate via telephone in order to correct the failure.</w:t>
      </w:r>
    </w:p>
    <w:p w:rsidR="0079779A" w:rsidRDefault="0079779A" w14:paraId="27649F67" w14:textId="77777777">
      <w:pPr>
        <w:jc w:val="both"/>
        <w:rPr>
          <w:rFonts w:cs="Arial"/>
        </w:rPr>
      </w:pPr>
      <w:bookmarkStart w:name="_DV_IPM74" w:id="589"/>
      <w:bookmarkStart w:name="_DV_IPM75" w:id="590"/>
      <w:bookmarkStart w:name="_DV_IPM79" w:id="591"/>
      <w:bookmarkStart w:name="_DV_DP94" w:id="592"/>
      <w:bookmarkStart w:name="_DV_IPM85" w:id="593"/>
      <w:bookmarkEnd w:id="589"/>
      <w:bookmarkEnd w:id="590"/>
      <w:bookmarkEnd w:id="591"/>
      <w:bookmarkEnd w:id="592"/>
      <w:bookmarkEnd w:id="593"/>
    </w:p>
    <w:p w:rsidR="0079779A" w:rsidRDefault="003E5439" w14:paraId="5A44054A" w14:textId="77777777">
      <w:pPr>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rsidR="0079779A" w:rsidRDefault="0079779A" w14:paraId="7E8BBDAC" w14:textId="77777777">
      <w:pPr>
        <w:pStyle w:val="Title"/>
        <w:rPr>
          <w:rFonts w:cs="Arial"/>
        </w:rPr>
      </w:pPr>
    </w:p>
    <w:p w:rsidR="0079779A" w:rsidRDefault="0079779A" w14:paraId="51F86EDD" w14:textId="77777777">
      <w:pPr>
        <w:jc w:val="both"/>
        <w:outlineLvl w:val="0"/>
        <w:rPr>
          <w:rFonts w:cs="Arial"/>
        </w:rPr>
        <w:sectPr w:rsidR="0079779A">
          <w:footerReference w:type="default" r:id="rId44"/>
          <w:pgSz w:w="12240" w:h="15840" w:code="1"/>
          <w:pgMar w:top="1440" w:right="1440" w:bottom="1440" w:left="1440" w:header="720" w:footer="720" w:gutter="0"/>
          <w:pgNumType w:start="1"/>
          <w:cols w:space="720"/>
        </w:sectPr>
      </w:pPr>
    </w:p>
    <w:p w:rsidR="0079779A" w:rsidRDefault="003E5439" w14:paraId="42C1E608" w14:textId="77777777">
      <w:pPr>
        <w:pageBreakBefore/>
        <w:spacing w:after="120"/>
        <w:jc w:val="center"/>
        <w:outlineLvl w:val="0"/>
        <w:rPr>
          <w:rFonts w:cs="Arial"/>
          <w:b/>
        </w:rPr>
      </w:pPr>
      <w:bookmarkStart w:name="_Toc433954241" w:id="594"/>
      <w:r>
        <w:rPr>
          <w:rFonts w:cs="Arial"/>
          <w:b/>
        </w:rPr>
        <w:lastRenderedPageBreak/>
        <w:t>EXHIBIT J</w:t>
      </w:r>
      <w:bookmarkEnd w:id="594"/>
    </w:p>
    <w:p w:rsidR="0079779A" w:rsidRDefault="003E5439" w14:paraId="23A2A144" w14:textId="77777777">
      <w:pPr>
        <w:pStyle w:val="TOC1"/>
      </w:pPr>
      <w:r>
        <w:t xml:space="preserve">BATTERY PAYMENT RATE AND CAPACITY PAYMENT RATE </w:t>
      </w:r>
    </w:p>
    <w:p w:rsidR="0079779A" w:rsidRDefault="003E5439" w14:paraId="311177CF" w14:textId="77777777">
      <w:pPr>
        <w:jc w:val="center"/>
        <w:rPr>
          <w:rFonts w:cs="Arial"/>
        </w:rPr>
      </w:pPr>
      <w:r>
        <w:rPr>
          <w:rFonts w:cs="Arial"/>
        </w:rPr>
        <w:t xml:space="preserve">This </w:t>
      </w:r>
      <w:r>
        <w:rPr>
          <w:rFonts w:cs="Arial"/>
          <w:u w:val="single"/>
        </w:rPr>
        <w:t>Exhibit J</w:t>
      </w:r>
      <w:r>
        <w:rPr>
          <w:rFonts w:cs="Arial"/>
        </w:rPr>
        <w:t xml:space="preserve"> sets forth the applicable rates for energy and capacity. </w:t>
      </w:r>
    </w:p>
    <w:p w:rsidR="0079779A" w:rsidRDefault="003E5439" w14:paraId="062E0C55" w14:textId="77777777">
      <w:pPr>
        <w:jc w:val="center"/>
        <w:rPr>
          <w:rFonts w:cs="Arial"/>
          <w:i/>
        </w:rPr>
      </w:pPr>
      <w:r>
        <w:rPr>
          <w:rFonts w:cs="Arial"/>
          <w:i/>
        </w:rPr>
        <w:t xml:space="preserve"> </w:t>
      </w:r>
    </w:p>
    <w:p w:rsidR="0079779A" w:rsidRDefault="003E5439" w14:paraId="2F9BBAF9" w14:textId="77777777">
      <w:pPr>
        <w:jc w:val="center"/>
        <w:rPr>
          <w:rFonts w:cs="Arial"/>
          <w:i/>
        </w:rPr>
      </w:pPr>
      <w:r>
        <w:rPr>
          <w:rFonts w:cs="Arial"/>
          <w:i/>
        </w:rPr>
        <w:t xml:space="preserve">This entire Exhibit shall be deemed Confidential Information subject to </w:t>
      </w:r>
      <w:r>
        <w:rPr>
          <w:rFonts w:cs="Arial"/>
          <w:i/>
          <w:u w:val="single"/>
        </w:rPr>
        <w:t>Section 20.18</w:t>
      </w:r>
      <w:r>
        <w:rPr>
          <w:rFonts w:cs="Arial"/>
          <w:i/>
        </w:rPr>
        <w:t>.</w:t>
      </w:r>
    </w:p>
    <w:p w:rsidR="0079779A" w:rsidRDefault="0079779A" w14:paraId="0460AEBD" w14:textId="77777777">
      <w:pPr>
        <w:rPr>
          <w:rFonts w:cs="Arial"/>
          <w:i/>
        </w:rPr>
      </w:pPr>
    </w:p>
    <w:p w:rsidR="0079779A" w:rsidRDefault="0079779A" w14:paraId="0C1C38B1" w14:textId="77777777">
      <w:pPr>
        <w:jc w:val="center"/>
        <w:rPr>
          <w:rFonts w:cs="Arial"/>
          <w:i/>
        </w:rPr>
      </w:pPr>
    </w:p>
    <w:tbl>
      <w:tblPr>
        <w:tblW w:w="3796" w:type="pct"/>
        <w:jc w:val="center"/>
        <w:tblLook w:val="04A0" w:firstRow="1" w:lastRow="0" w:firstColumn="1" w:lastColumn="0" w:noHBand="0" w:noVBand="1"/>
      </w:tblPr>
      <w:tblGrid>
        <w:gridCol w:w="1941"/>
        <w:gridCol w:w="2516"/>
        <w:gridCol w:w="2634"/>
      </w:tblGrid>
      <w:tr w:rsidR="0079779A" w14:paraId="45177738" w14:textId="77777777">
        <w:trPr>
          <w:trHeight w:val="960"/>
          <w:jc w:val="center"/>
        </w:trPr>
        <w:tc>
          <w:tcPr>
            <w:tcW w:w="1369" w:type="pct"/>
            <w:tcBorders>
              <w:top w:val="single" w:color="auto" w:sz="8" w:space="0"/>
              <w:left w:val="single" w:color="auto" w:sz="8" w:space="0"/>
              <w:bottom w:val="nil"/>
              <w:right w:val="nil"/>
            </w:tcBorders>
            <w:shd w:val="clear" w:color="auto" w:fill="auto"/>
            <w:vAlign w:val="center"/>
            <w:hideMark/>
          </w:tcPr>
          <w:p w:rsidR="0079779A" w:rsidRDefault="003E5439" w14:paraId="31B7A256" w14:textId="77777777">
            <w:pPr>
              <w:jc w:val="center"/>
              <w:rPr>
                <w:b/>
                <w:bCs/>
                <w:color w:val="000000"/>
              </w:rPr>
            </w:pPr>
            <w:r>
              <w:rPr>
                <w:b/>
                <w:bCs/>
                <w:color w:val="000000"/>
              </w:rPr>
              <w:t>Commercial Operation Year</w:t>
            </w:r>
          </w:p>
          <w:p w:rsidR="0079779A" w:rsidRDefault="0079779A" w14:paraId="6CDB9462" w14:textId="77777777">
            <w:pPr>
              <w:jc w:val="center"/>
              <w:rPr>
                <w:b/>
                <w:bCs/>
                <w:color w:val="000000"/>
              </w:rPr>
            </w:pPr>
          </w:p>
        </w:tc>
        <w:tc>
          <w:tcPr>
            <w:tcW w:w="1774" w:type="pct"/>
            <w:tcBorders>
              <w:top w:val="single" w:color="auto" w:sz="8" w:space="0"/>
              <w:left w:val="single" w:color="auto" w:sz="4" w:space="0"/>
              <w:bottom w:val="nil"/>
              <w:right w:val="single" w:color="auto" w:sz="4" w:space="0"/>
            </w:tcBorders>
            <w:shd w:val="clear" w:color="auto" w:fill="auto"/>
            <w:vAlign w:val="bottom"/>
            <w:hideMark/>
          </w:tcPr>
          <w:p w:rsidR="0079779A" w:rsidRDefault="003E5439" w14:paraId="3ED856F5" w14:textId="77777777">
            <w:pPr>
              <w:jc w:val="center"/>
              <w:rPr>
                <w:b/>
                <w:bCs/>
                <w:color w:val="000000"/>
                <w:sz w:val="22"/>
              </w:rPr>
            </w:pPr>
            <w:r>
              <w:rPr>
                <w:b/>
                <w:bCs/>
                <w:color w:val="000000"/>
                <w:sz w:val="22"/>
              </w:rPr>
              <w:t>Battery Payment Rate</w:t>
            </w:r>
          </w:p>
          <w:p w:rsidR="0079779A" w:rsidRDefault="0079779A" w14:paraId="0C8CC974" w14:textId="77777777">
            <w:pPr>
              <w:jc w:val="center"/>
              <w:rPr>
                <w:b/>
                <w:bCs/>
                <w:color w:val="000000"/>
                <w:sz w:val="22"/>
              </w:rPr>
            </w:pPr>
          </w:p>
        </w:tc>
        <w:tc>
          <w:tcPr>
            <w:tcW w:w="1857" w:type="pct"/>
            <w:tcBorders>
              <w:top w:val="single" w:color="auto" w:sz="8" w:space="0"/>
              <w:left w:val="single" w:color="auto" w:sz="4" w:space="0"/>
              <w:bottom w:val="nil"/>
              <w:right w:val="single" w:color="auto" w:sz="8" w:space="0"/>
            </w:tcBorders>
            <w:shd w:val="clear" w:color="auto" w:fill="auto"/>
            <w:vAlign w:val="bottom"/>
            <w:hideMark/>
          </w:tcPr>
          <w:p w:rsidR="0079779A" w:rsidRDefault="003E5439" w14:paraId="10190F75" w14:textId="77777777">
            <w:pPr>
              <w:jc w:val="center"/>
              <w:rPr>
                <w:b/>
                <w:bCs/>
                <w:color w:val="000000"/>
                <w:sz w:val="22"/>
              </w:rPr>
            </w:pPr>
            <w:r>
              <w:rPr>
                <w:b/>
                <w:bCs/>
                <w:color w:val="000000"/>
                <w:sz w:val="22"/>
              </w:rPr>
              <w:t>Capacity Payment Rate</w:t>
            </w:r>
          </w:p>
          <w:p w:rsidR="0079779A" w:rsidRDefault="0079779A" w14:paraId="2C72A457" w14:textId="77777777">
            <w:pPr>
              <w:jc w:val="center"/>
              <w:rPr>
                <w:b/>
                <w:bCs/>
                <w:color w:val="000000"/>
                <w:sz w:val="22"/>
              </w:rPr>
            </w:pPr>
          </w:p>
        </w:tc>
      </w:tr>
      <w:tr w:rsidR="0079779A" w14:paraId="3CE92ABD" w14:textId="77777777">
        <w:trPr>
          <w:trHeight w:val="315"/>
          <w:jc w:val="center"/>
        </w:trPr>
        <w:tc>
          <w:tcPr>
            <w:tcW w:w="1369" w:type="pct"/>
            <w:tcBorders>
              <w:top w:val="nil"/>
              <w:left w:val="single" w:color="auto" w:sz="8" w:space="0"/>
              <w:bottom w:val="single" w:color="auto" w:sz="4" w:space="0"/>
              <w:right w:val="nil"/>
            </w:tcBorders>
            <w:shd w:val="clear" w:color="auto" w:fill="auto"/>
            <w:vAlign w:val="center"/>
            <w:hideMark/>
          </w:tcPr>
          <w:p w:rsidR="0079779A" w:rsidRDefault="003E5439" w14:paraId="3045827A" w14:textId="77777777">
            <w:pPr>
              <w:jc w:val="center"/>
              <w:rPr>
                <w:color w:val="000000"/>
              </w:rPr>
            </w:pPr>
            <w:r>
              <w:rPr>
                <w:color w:val="000000"/>
              </w:rPr>
              <w:t>(Year)</w:t>
            </w:r>
          </w:p>
        </w:tc>
        <w:tc>
          <w:tcPr>
            <w:tcW w:w="1774" w:type="pct"/>
            <w:tcBorders>
              <w:top w:val="nil"/>
              <w:left w:val="single" w:color="auto" w:sz="4" w:space="0"/>
              <w:bottom w:val="single" w:color="auto" w:sz="4" w:space="0"/>
              <w:right w:val="single" w:color="auto" w:sz="4" w:space="0"/>
            </w:tcBorders>
            <w:shd w:val="clear" w:color="auto" w:fill="auto"/>
            <w:vAlign w:val="bottom"/>
            <w:hideMark/>
          </w:tcPr>
          <w:p w:rsidR="0079779A" w:rsidRDefault="003E5439" w14:paraId="75AB41B5" w14:textId="77777777">
            <w:pPr>
              <w:jc w:val="center"/>
              <w:rPr>
                <w:color w:val="000000"/>
                <w:sz w:val="22"/>
              </w:rPr>
            </w:pPr>
            <w:r>
              <w:rPr>
                <w:color w:val="000000"/>
                <w:sz w:val="22"/>
              </w:rPr>
              <w:t>($/MWh)</w:t>
            </w:r>
          </w:p>
        </w:tc>
        <w:tc>
          <w:tcPr>
            <w:tcW w:w="1857" w:type="pct"/>
            <w:tcBorders>
              <w:top w:val="nil"/>
              <w:left w:val="single" w:color="auto" w:sz="4" w:space="0"/>
              <w:bottom w:val="single" w:color="auto" w:sz="4" w:space="0"/>
              <w:right w:val="single" w:color="auto" w:sz="8" w:space="0"/>
            </w:tcBorders>
            <w:shd w:val="clear" w:color="auto" w:fill="auto"/>
            <w:vAlign w:val="bottom"/>
            <w:hideMark/>
          </w:tcPr>
          <w:p w:rsidR="0079779A" w:rsidRDefault="003E5439" w14:paraId="4604B038" w14:textId="77777777">
            <w:pPr>
              <w:jc w:val="center"/>
              <w:rPr>
                <w:color w:val="000000"/>
                <w:sz w:val="22"/>
              </w:rPr>
            </w:pPr>
            <w:r>
              <w:rPr>
                <w:color w:val="000000"/>
                <w:sz w:val="22"/>
              </w:rPr>
              <w:t>($/kW-month)</w:t>
            </w:r>
          </w:p>
        </w:tc>
      </w:tr>
      <w:tr w:rsidR="0079779A" w14:paraId="40C13918"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single" w:color="auto" w:sz="4" w:space="0"/>
              <w:left w:val="single" w:color="auto" w:sz="8" w:space="0"/>
              <w:bottom w:val="single" w:color="auto" w:sz="4" w:space="0"/>
              <w:right w:val="single" w:color="auto" w:sz="4" w:space="0"/>
            </w:tcBorders>
            <w:shd w:val="clear" w:color="auto" w:fill="auto"/>
            <w:vAlign w:val="center"/>
            <w:hideMark/>
          </w:tcPr>
          <w:p w:rsidR="0079779A" w:rsidRDefault="003E5439" w14:paraId="581958B2" w14:textId="77777777">
            <w:pPr>
              <w:jc w:val="center"/>
              <w:rPr>
                <w:color w:val="000000"/>
              </w:rPr>
            </w:pPr>
            <w:r>
              <w:rPr>
                <w:color w:val="000000"/>
              </w:rPr>
              <w:t>1</w:t>
            </w:r>
          </w:p>
        </w:tc>
        <w:tc>
          <w:tcPr>
            <w:tcW w:w="1774" w:type="pct"/>
            <w:tcBorders>
              <w:top w:val="nil"/>
              <w:left w:val="nil"/>
              <w:bottom w:val="single" w:color="auto" w:sz="4" w:space="0"/>
              <w:right w:val="single" w:color="auto" w:sz="4" w:space="0"/>
            </w:tcBorders>
            <w:shd w:val="clear" w:color="auto" w:fill="auto"/>
            <w:noWrap/>
          </w:tcPr>
          <w:p w:rsidR="0079779A" w:rsidRDefault="0079779A" w14:paraId="5F6C7BCE" w14:textId="77777777">
            <w:pPr>
              <w:jc w:val="center"/>
              <w:rPr>
                <w:color w:val="000000"/>
                <w:sz w:val="22"/>
              </w:rPr>
            </w:pPr>
          </w:p>
        </w:tc>
        <w:tc>
          <w:tcPr>
            <w:tcW w:w="1857" w:type="pct"/>
            <w:tcBorders>
              <w:top w:val="nil"/>
              <w:left w:val="nil"/>
              <w:bottom w:val="single" w:color="auto" w:sz="4" w:space="0"/>
              <w:right w:val="single" w:color="auto" w:sz="8" w:space="0"/>
            </w:tcBorders>
            <w:shd w:val="clear" w:color="auto" w:fill="auto"/>
            <w:noWrap/>
          </w:tcPr>
          <w:p w:rsidR="0079779A" w:rsidRDefault="0079779A" w14:paraId="5FD67130" w14:textId="77777777">
            <w:pPr>
              <w:jc w:val="center"/>
              <w:rPr>
                <w:color w:val="000000"/>
                <w:sz w:val="22"/>
              </w:rPr>
            </w:pPr>
          </w:p>
        </w:tc>
      </w:tr>
      <w:tr w:rsidR="0079779A" w14:paraId="5A4E2D48"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4FB834D2" w14:textId="77777777">
            <w:pPr>
              <w:jc w:val="center"/>
              <w:rPr>
                <w:color w:val="000000"/>
              </w:rPr>
            </w:pPr>
            <w:r>
              <w:rPr>
                <w:color w:val="000000"/>
              </w:rPr>
              <w:t>2</w:t>
            </w:r>
          </w:p>
        </w:tc>
        <w:tc>
          <w:tcPr>
            <w:tcW w:w="1774" w:type="pct"/>
            <w:tcBorders>
              <w:top w:val="single" w:color="auto" w:sz="4" w:space="0"/>
              <w:left w:val="nil"/>
              <w:bottom w:val="single" w:color="auto" w:sz="4" w:space="0"/>
              <w:right w:val="single" w:color="auto" w:sz="4" w:space="0"/>
            </w:tcBorders>
            <w:shd w:val="clear" w:color="auto" w:fill="auto"/>
            <w:noWrap/>
          </w:tcPr>
          <w:p w:rsidR="0079779A" w:rsidRDefault="0079779A" w14:paraId="68CF33BA"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700065CC" w14:textId="77777777">
            <w:pPr>
              <w:jc w:val="center"/>
              <w:rPr>
                <w:color w:val="000000"/>
                <w:sz w:val="22"/>
              </w:rPr>
            </w:pPr>
          </w:p>
        </w:tc>
      </w:tr>
      <w:tr w:rsidR="0079779A" w14:paraId="4FE36CBA"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042C0BD6" w14:textId="77777777">
            <w:pPr>
              <w:jc w:val="center"/>
              <w:rPr>
                <w:color w:val="000000"/>
              </w:rPr>
            </w:pPr>
            <w:r>
              <w:rPr>
                <w:color w:val="000000"/>
              </w:rPr>
              <w:t>3</w:t>
            </w:r>
          </w:p>
        </w:tc>
        <w:tc>
          <w:tcPr>
            <w:tcW w:w="1774" w:type="pct"/>
            <w:tcBorders>
              <w:top w:val="nil"/>
              <w:left w:val="nil"/>
              <w:bottom w:val="single" w:color="auto" w:sz="4" w:space="0"/>
              <w:right w:val="single" w:color="auto" w:sz="4" w:space="0"/>
            </w:tcBorders>
            <w:shd w:val="clear" w:color="auto" w:fill="auto"/>
            <w:noWrap/>
          </w:tcPr>
          <w:p w:rsidR="0079779A" w:rsidRDefault="0079779A" w14:paraId="28CEBAB4"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1DDD5A71" w14:textId="77777777">
            <w:pPr>
              <w:jc w:val="center"/>
              <w:rPr>
                <w:color w:val="000000"/>
                <w:sz w:val="22"/>
              </w:rPr>
            </w:pPr>
          </w:p>
        </w:tc>
      </w:tr>
      <w:tr w:rsidR="0079779A" w14:paraId="293E5E1A"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62CF06F1" w14:textId="77777777">
            <w:pPr>
              <w:jc w:val="center"/>
              <w:rPr>
                <w:color w:val="000000"/>
              </w:rPr>
            </w:pPr>
            <w:r>
              <w:rPr>
                <w:color w:val="000000"/>
              </w:rPr>
              <w:t>4</w:t>
            </w:r>
          </w:p>
        </w:tc>
        <w:tc>
          <w:tcPr>
            <w:tcW w:w="1774" w:type="pct"/>
            <w:tcBorders>
              <w:top w:val="nil"/>
              <w:left w:val="nil"/>
              <w:bottom w:val="single" w:color="auto" w:sz="4" w:space="0"/>
              <w:right w:val="single" w:color="auto" w:sz="4" w:space="0"/>
            </w:tcBorders>
            <w:shd w:val="clear" w:color="auto" w:fill="auto"/>
            <w:noWrap/>
          </w:tcPr>
          <w:p w:rsidR="0079779A" w:rsidRDefault="0079779A" w14:paraId="3B4A308E"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28358BBB" w14:textId="77777777">
            <w:pPr>
              <w:jc w:val="center"/>
              <w:rPr>
                <w:color w:val="000000"/>
                <w:sz w:val="22"/>
              </w:rPr>
            </w:pPr>
          </w:p>
        </w:tc>
      </w:tr>
      <w:tr w:rsidR="0079779A" w14:paraId="7479C619"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58ACC4C4" w14:textId="77777777">
            <w:pPr>
              <w:jc w:val="center"/>
              <w:rPr>
                <w:color w:val="000000"/>
              </w:rPr>
            </w:pPr>
            <w:r>
              <w:rPr>
                <w:color w:val="000000"/>
              </w:rPr>
              <w:t>5</w:t>
            </w:r>
          </w:p>
        </w:tc>
        <w:tc>
          <w:tcPr>
            <w:tcW w:w="1774" w:type="pct"/>
            <w:tcBorders>
              <w:top w:val="nil"/>
              <w:left w:val="nil"/>
              <w:bottom w:val="single" w:color="auto" w:sz="4" w:space="0"/>
              <w:right w:val="single" w:color="auto" w:sz="4" w:space="0"/>
            </w:tcBorders>
            <w:shd w:val="clear" w:color="auto" w:fill="auto"/>
            <w:noWrap/>
          </w:tcPr>
          <w:p w:rsidR="0079779A" w:rsidRDefault="0079779A" w14:paraId="77056B51"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25F2F3A5" w14:textId="77777777">
            <w:pPr>
              <w:jc w:val="center"/>
              <w:rPr>
                <w:color w:val="000000"/>
                <w:sz w:val="22"/>
              </w:rPr>
            </w:pPr>
          </w:p>
        </w:tc>
      </w:tr>
      <w:tr w:rsidR="0079779A" w14:paraId="72FDE5DC"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7EB1A005" w14:textId="77777777">
            <w:pPr>
              <w:jc w:val="center"/>
              <w:rPr>
                <w:color w:val="000000"/>
              </w:rPr>
            </w:pPr>
            <w:r>
              <w:rPr>
                <w:color w:val="000000"/>
              </w:rPr>
              <w:t>6</w:t>
            </w:r>
          </w:p>
        </w:tc>
        <w:tc>
          <w:tcPr>
            <w:tcW w:w="1774" w:type="pct"/>
            <w:tcBorders>
              <w:top w:val="nil"/>
              <w:left w:val="nil"/>
              <w:bottom w:val="single" w:color="auto" w:sz="4" w:space="0"/>
              <w:right w:val="single" w:color="auto" w:sz="4" w:space="0"/>
            </w:tcBorders>
            <w:shd w:val="clear" w:color="auto" w:fill="auto"/>
            <w:noWrap/>
          </w:tcPr>
          <w:p w:rsidR="0079779A" w:rsidRDefault="0079779A" w14:paraId="7F54D23A"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7412095B" w14:textId="77777777">
            <w:pPr>
              <w:jc w:val="center"/>
              <w:rPr>
                <w:color w:val="000000"/>
                <w:sz w:val="22"/>
              </w:rPr>
            </w:pPr>
          </w:p>
        </w:tc>
      </w:tr>
      <w:tr w:rsidR="0079779A" w14:paraId="3969B0AF"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1168283A" w14:textId="77777777">
            <w:pPr>
              <w:jc w:val="center"/>
              <w:rPr>
                <w:color w:val="000000"/>
              </w:rPr>
            </w:pPr>
            <w:r>
              <w:rPr>
                <w:color w:val="000000"/>
              </w:rPr>
              <w:t>7</w:t>
            </w:r>
          </w:p>
        </w:tc>
        <w:tc>
          <w:tcPr>
            <w:tcW w:w="1774" w:type="pct"/>
            <w:tcBorders>
              <w:top w:val="nil"/>
              <w:left w:val="nil"/>
              <w:bottom w:val="single" w:color="auto" w:sz="4" w:space="0"/>
              <w:right w:val="single" w:color="auto" w:sz="4" w:space="0"/>
            </w:tcBorders>
            <w:shd w:val="clear" w:color="auto" w:fill="auto"/>
            <w:noWrap/>
          </w:tcPr>
          <w:p w:rsidR="0079779A" w:rsidRDefault="0079779A" w14:paraId="63DC03EC"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0A8F602F" w14:textId="77777777">
            <w:pPr>
              <w:jc w:val="center"/>
              <w:rPr>
                <w:color w:val="000000"/>
                <w:sz w:val="22"/>
              </w:rPr>
            </w:pPr>
          </w:p>
        </w:tc>
      </w:tr>
      <w:tr w:rsidR="0079779A" w14:paraId="1285121C"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26ABF999" w14:textId="77777777">
            <w:pPr>
              <w:jc w:val="center"/>
              <w:rPr>
                <w:color w:val="000000"/>
              </w:rPr>
            </w:pPr>
            <w:r>
              <w:rPr>
                <w:color w:val="000000"/>
              </w:rPr>
              <w:t>8</w:t>
            </w:r>
          </w:p>
        </w:tc>
        <w:tc>
          <w:tcPr>
            <w:tcW w:w="1774" w:type="pct"/>
            <w:tcBorders>
              <w:top w:val="nil"/>
              <w:left w:val="nil"/>
              <w:bottom w:val="single" w:color="auto" w:sz="4" w:space="0"/>
              <w:right w:val="single" w:color="auto" w:sz="4" w:space="0"/>
            </w:tcBorders>
            <w:shd w:val="clear" w:color="auto" w:fill="auto"/>
            <w:noWrap/>
          </w:tcPr>
          <w:p w:rsidR="0079779A" w:rsidRDefault="0079779A" w14:paraId="2E933C1F"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61764D6C" w14:textId="77777777">
            <w:pPr>
              <w:jc w:val="center"/>
              <w:rPr>
                <w:color w:val="000000"/>
                <w:sz w:val="22"/>
              </w:rPr>
            </w:pPr>
          </w:p>
        </w:tc>
      </w:tr>
      <w:tr w:rsidR="0079779A" w14:paraId="6114AE2C"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161488E7" w14:textId="77777777">
            <w:pPr>
              <w:jc w:val="center"/>
              <w:rPr>
                <w:color w:val="000000"/>
              </w:rPr>
            </w:pPr>
            <w:r>
              <w:rPr>
                <w:color w:val="000000"/>
              </w:rPr>
              <w:t>9</w:t>
            </w:r>
          </w:p>
        </w:tc>
        <w:tc>
          <w:tcPr>
            <w:tcW w:w="1774" w:type="pct"/>
            <w:tcBorders>
              <w:top w:val="nil"/>
              <w:left w:val="nil"/>
              <w:bottom w:val="single" w:color="auto" w:sz="4" w:space="0"/>
              <w:right w:val="single" w:color="auto" w:sz="4" w:space="0"/>
            </w:tcBorders>
            <w:shd w:val="clear" w:color="auto" w:fill="auto"/>
            <w:noWrap/>
          </w:tcPr>
          <w:p w:rsidR="0079779A" w:rsidRDefault="0079779A" w14:paraId="2CD4B965"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77D9295C" w14:textId="77777777">
            <w:pPr>
              <w:jc w:val="center"/>
              <w:rPr>
                <w:color w:val="000000"/>
                <w:sz w:val="22"/>
              </w:rPr>
            </w:pPr>
          </w:p>
        </w:tc>
      </w:tr>
      <w:tr w:rsidR="0079779A" w14:paraId="3400835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716AC2A5" w14:textId="77777777">
            <w:pPr>
              <w:jc w:val="center"/>
              <w:rPr>
                <w:color w:val="000000"/>
              </w:rPr>
            </w:pPr>
            <w:r>
              <w:rPr>
                <w:color w:val="000000"/>
              </w:rPr>
              <w:t>10</w:t>
            </w:r>
          </w:p>
        </w:tc>
        <w:tc>
          <w:tcPr>
            <w:tcW w:w="1774" w:type="pct"/>
            <w:tcBorders>
              <w:top w:val="nil"/>
              <w:left w:val="nil"/>
              <w:bottom w:val="single" w:color="auto" w:sz="4" w:space="0"/>
              <w:right w:val="single" w:color="auto" w:sz="4" w:space="0"/>
            </w:tcBorders>
            <w:shd w:val="clear" w:color="auto" w:fill="auto"/>
            <w:noWrap/>
          </w:tcPr>
          <w:p w:rsidR="0079779A" w:rsidRDefault="0079779A" w14:paraId="27BA2D07"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2C5E2D67" w14:textId="77777777">
            <w:pPr>
              <w:jc w:val="center"/>
              <w:rPr>
                <w:color w:val="000000"/>
                <w:sz w:val="22"/>
              </w:rPr>
            </w:pPr>
          </w:p>
        </w:tc>
      </w:tr>
      <w:tr w:rsidR="0079779A" w14:paraId="3DE5E130"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12BA6510" w14:textId="77777777">
            <w:pPr>
              <w:jc w:val="center"/>
              <w:rPr>
                <w:color w:val="000000"/>
              </w:rPr>
            </w:pPr>
            <w:r>
              <w:rPr>
                <w:color w:val="000000"/>
              </w:rPr>
              <w:t>11</w:t>
            </w:r>
          </w:p>
        </w:tc>
        <w:tc>
          <w:tcPr>
            <w:tcW w:w="1774" w:type="pct"/>
            <w:tcBorders>
              <w:top w:val="nil"/>
              <w:left w:val="nil"/>
              <w:bottom w:val="single" w:color="auto" w:sz="4" w:space="0"/>
              <w:right w:val="single" w:color="auto" w:sz="4" w:space="0"/>
            </w:tcBorders>
            <w:shd w:val="clear" w:color="auto" w:fill="auto"/>
            <w:noWrap/>
          </w:tcPr>
          <w:p w:rsidR="0079779A" w:rsidRDefault="0079779A" w14:paraId="13C3D7DA"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5B3C9325" w14:textId="77777777">
            <w:pPr>
              <w:jc w:val="center"/>
              <w:rPr>
                <w:color w:val="000000"/>
                <w:sz w:val="22"/>
              </w:rPr>
            </w:pPr>
          </w:p>
        </w:tc>
      </w:tr>
      <w:tr w:rsidR="0079779A" w14:paraId="446BC56E"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36FCB3BF" w14:textId="77777777">
            <w:pPr>
              <w:jc w:val="center"/>
              <w:rPr>
                <w:color w:val="000000"/>
              </w:rPr>
            </w:pPr>
            <w:r>
              <w:rPr>
                <w:color w:val="000000"/>
              </w:rPr>
              <w:t>12</w:t>
            </w:r>
          </w:p>
        </w:tc>
        <w:tc>
          <w:tcPr>
            <w:tcW w:w="1774" w:type="pct"/>
            <w:tcBorders>
              <w:top w:val="nil"/>
              <w:left w:val="nil"/>
              <w:bottom w:val="single" w:color="auto" w:sz="4" w:space="0"/>
              <w:right w:val="single" w:color="auto" w:sz="4" w:space="0"/>
            </w:tcBorders>
            <w:shd w:val="clear" w:color="auto" w:fill="auto"/>
            <w:noWrap/>
          </w:tcPr>
          <w:p w:rsidR="0079779A" w:rsidRDefault="0079779A" w14:paraId="178880E7"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6AC5E193" w14:textId="77777777">
            <w:pPr>
              <w:jc w:val="center"/>
              <w:rPr>
                <w:color w:val="000000"/>
                <w:sz w:val="22"/>
              </w:rPr>
            </w:pPr>
          </w:p>
        </w:tc>
      </w:tr>
      <w:tr w:rsidR="0079779A" w14:paraId="10D1CF7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7581DEB4" w14:textId="77777777">
            <w:pPr>
              <w:jc w:val="center"/>
              <w:rPr>
                <w:color w:val="000000"/>
              </w:rPr>
            </w:pPr>
            <w:r>
              <w:rPr>
                <w:color w:val="000000"/>
              </w:rPr>
              <w:t>13</w:t>
            </w:r>
          </w:p>
        </w:tc>
        <w:tc>
          <w:tcPr>
            <w:tcW w:w="1774" w:type="pct"/>
            <w:tcBorders>
              <w:top w:val="nil"/>
              <w:left w:val="nil"/>
              <w:bottom w:val="single" w:color="auto" w:sz="4" w:space="0"/>
              <w:right w:val="single" w:color="auto" w:sz="4" w:space="0"/>
            </w:tcBorders>
            <w:shd w:val="clear" w:color="auto" w:fill="auto"/>
            <w:noWrap/>
          </w:tcPr>
          <w:p w:rsidR="0079779A" w:rsidRDefault="0079779A" w14:paraId="1249A61D"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2E7670CA" w14:textId="77777777">
            <w:pPr>
              <w:jc w:val="center"/>
              <w:rPr>
                <w:color w:val="000000"/>
                <w:sz w:val="22"/>
              </w:rPr>
            </w:pPr>
          </w:p>
        </w:tc>
      </w:tr>
      <w:tr w:rsidR="0079779A" w14:paraId="3580F16A"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5C102EFD" w14:textId="77777777">
            <w:pPr>
              <w:jc w:val="center"/>
              <w:rPr>
                <w:color w:val="000000"/>
              </w:rPr>
            </w:pPr>
            <w:r>
              <w:rPr>
                <w:color w:val="000000"/>
              </w:rPr>
              <w:t>14</w:t>
            </w:r>
          </w:p>
        </w:tc>
        <w:tc>
          <w:tcPr>
            <w:tcW w:w="1774" w:type="pct"/>
            <w:tcBorders>
              <w:top w:val="nil"/>
              <w:left w:val="nil"/>
              <w:bottom w:val="single" w:color="auto" w:sz="4" w:space="0"/>
              <w:right w:val="single" w:color="auto" w:sz="4" w:space="0"/>
            </w:tcBorders>
            <w:shd w:val="clear" w:color="auto" w:fill="auto"/>
            <w:noWrap/>
          </w:tcPr>
          <w:p w:rsidR="0079779A" w:rsidRDefault="0079779A" w14:paraId="73E7934C"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160AC053" w14:textId="77777777">
            <w:pPr>
              <w:jc w:val="center"/>
              <w:rPr>
                <w:color w:val="000000"/>
                <w:sz w:val="22"/>
              </w:rPr>
            </w:pPr>
          </w:p>
        </w:tc>
      </w:tr>
      <w:tr w:rsidR="0079779A" w14:paraId="4A5EB809"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2EBA515E" w14:textId="77777777">
            <w:pPr>
              <w:jc w:val="center"/>
              <w:rPr>
                <w:color w:val="000000"/>
              </w:rPr>
            </w:pPr>
            <w:r>
              <w:rPr>
                <w:color w:val="000000"/>
              </w:rPr>
              <w:t>15</w:t>
            </w:r>
          </w:p>
        </w:tc>
        <w:tc>
          <w:tcPr>
            <w:tcW w:w="1774" w:type="pct"/>
            <w:tcBorders>
              <w:top w:val="nil"/>
              <w:left w:val="nil"/>
              <w:bottom w:val="single" w:color="auto" w:sz="4" w:space="0"/>
              <w:right w:val="single" w:color="auto" w:sz="4" w:space="0"/>
            </w:tcBorders>
            <w:shd w:val="clear" w:color="auto" w:fill="auto"/>
            <w:noWrap/>
          </w:tcPr>
          <w:p w:rsidR="0079779A" w:rsidRDefault="0079779A" w14:paraId="3CD03F2B"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1C141B0E" w14:textId="77777777">
            <w:pPr>
              <w:jc w:val="center"/>
              <w:rPr>
                <w:color w:val="000000"/>
                <w:sz w:val="22"/>
              </w:rPr>
            </w:pPr>
          </w:p>
        </w:tc>
      </w:tr>
      <w:tr w:rsidR="0079779A" w14:paraId="78E7EF7A"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2EC703D8" w14:textId="77777777">
            <w:pPr>
              <w:jc w:val="center"/>
              <w:rPr>
                <w:color w:val="000000"/>
              </w:rPr>
            </w:pPr>
            <w:r>
              <w:rPr>
                <w:color w:val="000000"/>
              </w:rPr>
              <w:t>16</w:t>
            </w:r>
          </w:p>
        </w:tc>
        <w:tc>
          <w:tcPr>
            <w:tcW w:w="1774" w:type="pct"/>
            <w:tcBorders>
              <w:top w:val="nil"/>
              <w:left w:val="nil"/>
              <w:bottom w:val="single" w:color="auto" w:sz="4" w:space="0"/>
              <w:right w:val="single" w:color="auto" w:sz="4" w:space="0"/>
            </w:tcBorders>
            <w:shd w:val="clear" w:color="auto" w:fill="auto"/>
            <w:noWrap/>
          </w:tcPr>
          <w:p w:rsidR="0079779A" w:rsidRDefault="0079779A" w14:paraId="23EB2F64"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1085D278" w14:textId="77777777">
            <w:pPr>
              <w:jc w:val="center"/>
              <w:rPr>
                <w:color w:val="000000"/>
                <w:sz w:val="22"/>
              </w:rPr>
            </w:pPr>
          </w:p>
        </w:tc>
      </w:tr>
      <w:tr w:rsidR="0079779A" w14:paraId="1250E8D1"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74DB09C3" w14:textId="77777777">
            <w:pPr>
              <w:jc w:val="center"/>
              <w:rPr>
                <w:color w:val="000000"/>
              </w:rPr>
            </w:pPr>
            <w:r>
              <w:rPr>
                <w:color w:val="000000"/>
              </w:rPr>
              <w:t>17</w:t>
            </w:r>
          </w:p>
        </w:tc>
        <w:tc>
          <w:tcPr>
            <w:tcW w:w="1774" w:type="pct"/>
            <w:tcBorders>
              <w:top w:val="nil"/>
              <w:left w:val="nil"/>
              <w:bottom w:val="single" w:color="auto" w:sz="4" w:space="0"/>
              <w:right w:val="single" w:color="auto" w:sz="4" w:space="0"/>
            </w:tcBorders>
            <w:shd w:val="clear" w:color="auto" w:fill="auto"/>
            <w:noWrap/>
          </w:tcPr>
          <w:p w:rsidR="0079779A" w:rsidRDefault="0079779A" w14:paraId="12127428"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68FECED0" w14:textId="77777777">
            <w:pPr>
              <w:jc w:val="center"/>
              <w:rPr>
                <w:color w:val="000000"/>
                <w:sz w:val="22"/>
              </w:rPr>
            </w:pPr>
          </w:p>
        </w:tc>
      </w:tr>
      <w:tr w:rsidR="0079779A" w14:paraId="077475D7"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450058F1" w14:textId="77777777">
            <w:pPr>
              <w:jc w:val="center"/>
              <w:rPr>
                <w:color w:val="000000"/>
              </w:rPr>
            </w:pPr>
            <w:r>
              <w:rPr>
                <w:color w:val="000000"/>
              </w:rPr>
              <w:t>18</w:t>
            </w:r>
          </w:p>
        </w:tc>
        <w:tc>
          <w:tcPr>
            <w:tcW w:w="1774" w:type="pct"/>
            <w:tcBorders>
              <w:top w:val="nil"/>
              <w:left w:val="nil"/>
              <w:bottom w:val="single" w:color="auto" w:sz="4" w:space="0"/>
              <w:right w:val="single" w:color="auto" w:sz="4" w:space="0"/>
            </w:tcBorders>
            <w:shd w:val="clear" w:color="auto" w:fill="auto"/>
            <w:noWrap/>
          </w:tcPr>
          <w:p w:rsidR="0079779A" w:rsidRDefault="0079779A" w14:paraId="3960E62D"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556B10E8" w14:textId="77777777">
            <w:pPr>
              <w:jc w:val="center"/>
              <w:rPr>
                <w:color w:val="000000"/>
                <w:sz w:val="22"/>
              </w:rPr>
            </w:pPr>
          </w:p>
        </w:tc>
      </w:tr>
      <w:tr w:rsidR="0079779A" w14:paraId="74C75603"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5"/>
          <w:jc w:val="center"/>
        </w:trPr>
        <w:tc>
          <w:tcPr>
            <w:tcW w:w="1369" w:type="pct"/>
            <w:tcBorders>
              <w:top w:val="nil"/>
              <w:left w:val="single" w:color="auto" w:sz="8" w:space="0"/>
              <w:bottom w:val="single" w:color="auto" w:sz="4" w:space="0"/>
              <w:right w:val="single" w:color="auto" w:sz="4" w:space="0"/>
            </w:tcBorders>
            <w:shd w:val="clear" w:color="auto" w:fill="auto"/>
            <w:vAlign w:val="center"/>
            <w:hideMark/>
          </w:tcPr>
          <w:p w:rsidR="0079779A" w:rsidRDefault="003E5439" w14:paraId="19D97F9E" w14:textId="77777777">
            <w:pPr>
              <w:jc w:val="center"/>
              <w:rPr>
                <w:color w:val="000000"/>
              </w:rPr>
            </w:pPr>
            <w:r>
              <w:rPr>
                <w:color w:val="000000"/>
              </w:rPr>
              <w:t>19</w:t>
            </w:r>
          </w:p>
        </w:tc>
        <w:tc>
          <w:tcPr>
            <w:tcW w:w="1774" w:type="pct"/>
            <w:tcBorders>
              <w:top w:val="nil"/>
              <w:left w:val="nil"/>
              <w:bottom w:val="single" w:color="auto" w:sz="4" w:space="0"/>
              <w:right w:val="single" w:color="auto" w:sz="4" w:space="0"/>
            </w:tcBorders>
            <w:shd w:val="clear" w:color="auto" w:fill="auto"/>
            <w:noWrap/>
          </w:tcPr>
          <w:p w:rsidR="0079779A" w:rsidRDefault="0079779A" w14:paraId="480180F4" w14:textId="77777777">
            <w:pPr>
              <w:jc w:val="center"/>
              <w:rPr>
                <w:color w:val="000000"/>
                <w:sz w:val="22"/>
              </w:rPr>
            </w:pPr>
          </w:p>
        </w:tc>
        <w:tc>
          <w:tcPr>
            <w:tcW w:w="1857" w:type="pct"/>
            <w:tcBorders>
              <w:top w:val="nil"/>
              <w:left w:val="single" w:color="auto" w:sz="4" w:space="0"/>
              <w:bottom w:val="single" w:color="auto" w:sz="4" w:space="0"/>
              <w:right w:val="single" w:color="auto" w:sz="8" w:space="0"/>
            </w:tcBorders>
            <w:shd w:val="clear" w:color="auto" w:fill="auto"/>
            <w:noWrap/>
          </w:tcPr>
          <w:p w:rsidR="0079779A" w:rsidRDefault="0079779A" w14:paraId="7CBCDF16" w14:textId="77777777">
            <w:pPr>
              <w:jc w:val="center"/>
              <w:rPr>
                <w:color w:val="000000"/>
                <w:sz w:val="22"/>
              </w:rPr>
            </w:pPr>
          </w:p>
        </w:tc>
      </w:tr>
      <w:tr w:rsidR="0079779A" w14:paraId="2734AD8B" w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jc w:val="center"/>
        </w:trPr>
        <w:tc>
          <w:tcPr>
            <w:tcW w:w="1369" w:type="pct"/>
            <w:tcBorders>
              <w:top w:val="nil"/>
              <w:left w:val="single" w:color="auto" w:sz="8" w:space="0"/>
              <w:bottom w:val="single" w:color="auto" w:sz="8" w:space="0"/>
              <w:right w:val="single" w:color="auto" w:sz="4" w:space="0"/>
            </w:tcBorders>
            <w:shd w:val="clear" w:color="auto" w:fill="auto"/>
            <w:vAlign w:val="center"/>
            <w:hideMark/>
          </w:tcPr>
          <w:p w:rsidR="0079779A" w:rsidRDefault="003E5439" w14:paraId="1E3B9738" w14:textId="77777777">
            <w:pPr>
              <w:jc w:val="center"/>
              <w:rPr>
                <w:color w:val="000000"/>
              </w:rPr>
            </w:pPr>
            <w:r>
              <w:rPr>
                <w:color w:val="000000"/>
              </w:rPr>
              <w:t>20</w:t>
            </w:r>
          </w:p>
        </w:tc>
        <w:tc>
          <w:tcPr>
            <w:tcW w:w="1774" w:type="pct"/>
            <w:tcBorders>
              <w:top w:val="single" w:color="auto" w:sz="4" w:space="0"/>
              <w:left w:val="nil"/>
              <w:bottom w:val="single" w:color="auto" w:sz="8" w:space="0"/>
              <w:right w:val="single" w:color="auto" w:sz="4" w:space="0"/>
            </w:tcBorders>
            <w:shd w:val="clear" w:color="auto" w:fill="auto"/>
            <w:noWrap/>
          </w:tcPr>
          <w:p w:rsidR="0079779A" w:rsidRDefault="0079779A" w14:paraId="6F2508FF" w14:textId="77777777">
            <w:pPr>
              <w:jc w:val="center"/>
              <w:rPr>
                <w:color w:val="000000"/>
                <w:sz w:val="22"/>
              </w:rPr>
            </w:pPr>
          </w:p>
        </w:tc>
        <w:tc>
          <w:tcPr>
            <w:tcW w:w="1857" w:type="pct"/>
            <w:tcBorders>
              <w:top w:val="nil"/>
              <w:left w:val="nil"/>
              <w:bottom w:val="single" w:color="auto" w:sz="8" w:space="0"/>
              <w:right w:val="single" w:color="auto" w:sz="8" w:space="0"/>
            </w:tcBorders>
            <w:shd w:val="clear" w:color="auto" w:fill="auto"/>
            <w:noWrap/>
          </w:tcPr>
          <w:p w:rsidR="0079779A" w:rsidRDefault="0079779A" w14:paraId="7AD70DAD" w14:textId="77777777">
            <w:pPr>
              <w:jc w:val="center"/>
              <w:rPr>
                <w:color w:val="000000"/>
                <w:sz w:val="22"/>
              </w:rPr>
            </w:pPr>
          </w:p>
        </w:tc>
      </w:tr>
    </w:tbl>
    <w:p w:rsidR="0079779A" w:rsidRDefault="0079779A" w14:paraId="2AF2858A" w14:textId="77777777">
      <w:pPr>
        <w:spacing w:after="120"/>
        <w:jc w:val="center"/>
        <w:outlineLvl w:val="0"/>
        <w:rPr>
          <w:rFonts w:cs="Arial"/>
        </w:rPr>
      </w:pPr>
    </w:p>
    <w:p w:rsidR="0079779A" w:rsidRDefault="0079779A" w14:paraId="34F9C305" w14:textId="77777777">
      <w:pPr>
        <w:spacing w:after="120"/>
        <w:jc w:val="center"/>
        <w:outlineLvl w:val="0"/>
        <w:rPr>
          <w:rFonts w:cs="Arial"/>
        </w:rPr>
      </w:pPr>
    </w:p>
    <w:p w:rsidR="0079779A" w:rsidRDefault="0079779A" w14:paraId="6CBB6005" w14:textId="77777777">
      <w:pPr>
        <w:spacing w:after="120"/>
        <w:jc w:val="center"/>
        <w:outlineLvl w:val="0"/>
        <w:rPr>
          <w:rFonts w:cs="Arial"/>
        </w:rPr>
      </w:pPr>
    </w:p>
    <w:p w:rsidR="0079779A" w:rsidRDefault="0079779A" w14:paraId="6B5F8B69" w14:textId="77777777">
      <w:pPr>
        <w:spacing w:after="120"/>
        <w:jc w:val="center"/>
        <w:outlineLvl w:val="0"/>
        <w:rPr>
          <w:rFonts w:cs="Arial"/>
        </w:rPr>
      </w:pPr>
    </w:p>
    <w:p w:rsidR="0079779A" w:rsidRDefault="0079779A" w14:paraId="4B74350D" w14:textId="77777777">
      <w:pPr>
        <w:spacing w:after="120"/>
        <w:jc w:val="center"/>
        <w:outlineLvl w:val="0"/>
        <w:rPr>
          <w:rFonts w:cs="Arial"/>
        </w:rPr>
        <w:sectPr w:rsidR="0079779A">
          <w:footerReference w:type="default" r:id="rId45"/>
          <w:pgSz w:w="12240" w:h="15840" w:code="1"/>
          <w:pgMar w:top="1440" w:right="1440" w:bottom="1440" w:left="1440" w:header="720" w:footer="720" w:gutter="0"/>
          <w:pgNumType w:start="1"/>
          <w:cols w:space="720"/>
        </w:sectPr>
      </w:pPr>
    </w:p>
    <w:p w:rsidR="0079779A" w:rsidRDefault="003E5439" w14:paraId="442421F1" w14:textId="77777777">
      <w:pPr>
        <w:pageBreakBefore/>
        <w:spacing w:after="120"/>
        <w:jc w:val="center"/>
        <w:outlineLvl w:val="0"/>
        <w:rPr>
          <w:rFonts w:cs="Arial"/>
          <w:b/>
        </w:rPr>
      </w:pPr>
      <w:bookmarkStart w:name="_Toc433954242" w:id="595"/>
      <w:r>
        <w:rPr>
          <w:rFonts w:cs="Arial"/>
          <w:b/>
        </w:rPr>
        <w:lastRenderedPageBreak/>
        <w:t>EXHIBIT K</w:t>
      </w:r>
      <w:bookmarkEnd w:id="595"/>
    </w:p>
    <w:p w:rsidR="0079779A" w:rsidRDefault="003E5439" w14:paraId="3936FBCF" w14:textId="77777777">
      <w:pPr>
        <w:spacing w:after="240"/>
        <w:jc w:val="center"/>
        <w:outlineLvl w:val="0"/>
        <w:rPr>
          <w:rFonts w:cs="Arial"/>
          <w:b/>
        </w:rPr>
      </w:pPr>
      <w:bookmarkStart w:name="_Toc433954243" w:id="596"/>
      <w:r>
        <w:rPr>
          <w:rFonts w:cs="Arial"/>
          <w:b/>
        </w:rPr>
        <w:t>LENDER CONSENT PROVISIONS</w:t>
      </w:r>
      <w:bookmarkEnd w:id="596"/>
      <w:r>
        <w:rPr>
          <w:rFonts w:cs="Arial"/>
          <w:b/>
        </w:rPr>
        <w:fldChar w:fldCharType="begin"/>
      </w:r>
      <w:r>
        <w:rPr>
          <w:rFonts w:cs="Arial"/>
        </w:rPr>
        <w:instrText xml:space="preserve"> TC \l "1"</w:instrText>
      </w:r>
      <w:r>
        <w:rPr>
          <w:rFonts w:cs="Arial"/>
          <w:b/>
        </w:rPr>
        <w:fldChar w:fldCharType="end"/>
      </w:r>
    </w:p>
    <w:p w:rsidR="0079779A" w:rsidRDefault="003E5439" w14:paraId="0D670533" w14:textId="77777777">
      <w:pPr>
        <w:ind w:firstLine="720"/>
        <w:jc w:val="both"/>
        <w:rPr>
          <w:rFonts w:cs="Arial"/>
        </w:rPr>
      </w:pPr>
      <w:r>
        <w:rPr>
          <w:rFonts w:cs="Arial"/>
        </w:rPr>
        <w:t xml:space="preserve">In the event Seller collaterally assigns its rights hereunder to a Facility Lender as security, any related Lender Consent will contain provisions substantially as follows: </w:t>
      </w:r>
    </w:p>
    <w:p w:rsidR="0079779A" w:rsidRDefault="0079779A" w14:paraId="443F3691" w14:textId="77777777">
      <w:pPr>
        <w:ind w:left="90" w:firstLine="630"/>
        <w:rPr>
          <w:rFonts w:cs="Arial"/>
        </w:rPr>
      </w:pPr>
    </w:p>
    <w:p w:rsidR="0079779A" w:rsidRDefault="003E5439" w14:paraId="481D25A1" w14:textId="77777777">
      <w:pPr>
        <w:numPr>
          <w:ilvl w:val="0"/>
          <w:numId w:val="32"/>
        </w:numPr>
        <w:spacing w:after="240"/>
        <w:ind w:left="540" w:hanging="540"/>
        <w:jc w:val="both"/>
        <w:rPr>
          <w:rFonts w:cs="Arial"/>
        </w:rPr>
      </w:pPr>
      <w:r>
        <w:rPr>
          <w:rFonts w:cs="Arial"/>
        </w:rPr>
        <w:t xml:space="preserve">Seller and Company will neither modify nor terminate the PPA in any material respect, without the prior written consent of the Facility Lender. </w:t>
      </w:r>
    </w:p>
    <w:p w:rsidR="0079779A" w:rsidRDefault="003E5439" w14:paraId="213959DF" w14:textId="77777777">
      <w:pPr>
        <w:numPr>
          <w:ilvl w:val="0"/>
          <w:numId w:val="32"/>
        </w:numPr>
        <w:spacing w:after="240"/>
        <w:ind w:left="540" w:hanging="540"/>
        <w:jc w:val="both"/>
        <w:rPr>
          <w:rFonts w:cs="Arial"/>
        </w:rPr>
      </w:pPr>
      <w:r>
        <w:rPr>
          <w:rFonts w:cs="Arial"/>
        </w:rPr>
        <w:t xml:space="preserve">The Facility Lender shall have the right, but no obligation, to do any act required to be performed by Seller under the PPA, and any such act performed by the Facility Lender shall be as effective to prevent or cure a default as if done by Seller itself. </w:t>
      </w:r>
    </w:p>
    <w:p w:rsidR="0079779A" w:rsidRDefault="003E5439" w14:paraId="30398552" w14:textId="77777777">
      <w:pPr>
        <w:numPr>
          <w:ilvl w:val="0"/>
          <w:numId w:val="32"/>
        </w:numPr>
        <w:spacing w:after="240"/>
        <w:ind w:left="540" w:hanging="540"/>
        <w:jc w:val="both"/>
        <w:rPr>
          <w:rFonts w:cs="Arial"/>
        </w:rPr>
      </w:pPr>
      <w:r>
        <w:rPr>
          <w:rFonts w:cs="Arial"/>
        </w:rPr>
        <w:t xml:space="preserve">If Company becomes entitled to terminate the PPA due to an Event of Default by Seller, Company shall not terminate the PPA unless it has first given notice of such Event of Default to the Facility Lender and has given the Facility Lender the same cure period afforded to Seller under Article 12 of the PPA, plus an additional 30 Days beyond Seller’s cure period to cure such Event of Default; </w:t>
      </w:r>
      <w:r>
        <w:rPr>
          <w:rFonts w:cs="Arial"/>
          <w:i/>
        </w:rPr>
        <w:t>provided, however</w:t>
      </w:r>
      <w:r>
        <w:rPr>
          <w:rFonts w:cs="Arial"/>
        </w:rPr>
        <w:t xml:space="preserve">, that if the Facility Lender requires possession of the Facility in order to cure the Event of Default, and if the Facility Lender diligently seeks possession, the Facility Lender’s additional 30-Day cure period shall not begin until foreclosure is completed, a receiver is appointed, any bankruptcy stay is removed, or possession is otherwise obtained by or on behalf of the Facility Lender. </w:t>
      </w:r>
    </w:p>
    <w:p w:rsidR="0079779A" w:rsidRDefault="003E5439" w14:paraId="29BC754E" w14:textId="77777777">
      <w:pPr>
        <w:numPr>
          <w:ilvl w:val="0"/>
          <w:numId w:val="32"/>
        </w:numPr>
        <w:spacing w:after="240"/>
        <w:ind w:left="540" w:hanging="540"/>
        <w:jc w:val="both"/>
        <w:rPr>
          <w:rFonts w:cs="Arial"/>
        </w:rPr>
      </w:pPr>
      <w:r>
        <w:rPr>
          <w:rFonts w:cs="Arial"/>
        </w:rPr>
        <w:t xml:space="preserve">The Facility Lender shall provide to Company a copy of any notices of default and/or intent to exercise remedies delivered to Seller under the Financing Documents. </w:t>
      </w:r>
    </w:p>
    <w:p w:rsidR="0079779A" w:rsidRDefault="003E5439" w14:paraId="3DECF4FF" w14:textId="77777777">
      <w:pPr>
        <w:numPr>
          <w:ilvl w:val="0"/>
          <w:numId w:val="32"/>
        </w:numPr>
        <w:spacing w:after="240"/>
        <w:ind w:left="540" w:hanging="540"/>
        <w:jc w:val="both"/>
        <w:rPr>
          <w:rFonts w:cs="Arial"/>
        </w:rPr>
      </w:pPr>
      <w:r>
        <w:rPr>
          <w:rFonts w:cs="Arial"/>
        </w:rPr>
        <w:t xml:space="preserve">Upon any foreclosure, deed-in-lieu or other exercise of the rights and remedies of the Facility Lender that results in a successor owner or operator of the Facility, the Facility Lender shall require and cause the successor (i) to assume all of Seller’s prospective obligations under the PPA, (ii) to cure any then-existing defaults by Seller that are capable of cure by performance or the payment of money damages, (iii) to have substantial experience in the operation of power energy storage facilities akin to the Facility, either directly, through its affiliates or through an operator acceptable to Company, and (iv) to enjoy (together with its parents and affiliates) an Investment Grade Credit Rating or other creditworthiness satisfactory to Company.  Except for the foregoing, the Facility Lender shall not be obligated to perform or be liable for any obligation of Seller under the PPA.  </w:t>
      </w:r>
    </w:p>
    <w:p w:rsidR="0079779A" w:rsidRDefault="003E5439" w14:paraId="467FB54D" w14:textId="77777777">
      <w:pPr>
        <w:numPr>
          <w:ilvl w:val="0"/>
          <w:numId w:val="32"/>
        </w:numPr>
        <w:spacing w:after="240"/>
        <w:ind w:left="540" w:hanging="540"/>
        <w:jc w:val="both"/>
        <w:rPr>
          <w:rFonts w:cs="Arial"/>
        </w:rPr>
      </w:pPr>
      <w:r>
        <w:rPr>
          <w:rFonts w:cs="Arial"/>
        </w:rPr>
        <w:t>Upon any rejection or other termination of the PPA in connection with any bankruptcy or insolvency of Seller, the Facility Lender (or its successor) and Company shall enter into a new power purchase agreement on the same terms and conditions as the PPA and for the period that would have been remaining under the PPA but for such termination.</w:t>
      </w:r>
    </w:p>
    <w:p w:rsidR="0079779A" w:rsidRDefault="003E5439" w14:paraId="2C5B1C92" w14:textId="77777777">
      <w:pPr>
        <w:spacing w:after="240"/>
        <w:jc w:val="center"/>
        <w:rPr>
          <w:rFonts w:cs="Arial"/>
        </w:r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rsidR="0079779A" w:rsidRDefault="0079779A" w14:paraId="3E63DF76" w14:textId="77777777">
      <w:pPr>
        <w:spacing w:after="240"/>
        <w:jc w:val="both"/>
        <w:rPr>
          <w:rFonts w:cs="Arial"/>
        </w:rPr>
        <w:sectPr w:rsidR="0079779A">
          <w:footerReference w:type="default" r:id="rId46"/>
          <w:pgSz w:w="12240" w:h="15840" w:code="1"/>
          <w:pgMar w:top="1440" w:right="1440" w:bottom="1440" w:left="1440" w:header="720" w:footer="720" w:gutter="0"/>
          <w:pgNumType w:start="1"/>
          <w:cols w:space="720"/>
        </w:sectPr>
      </w:pPr>
    </w:p>
    <w:p w:rsidR="0079779A" w:rsidRDefault="003E5439" w14:paraId="18808437" w14:textId="77777777">
      <w:pPr>
        <w:pageBreakBefore/>
        <w:spacing w:after="120"/>
        <w:jc w:val="center"/>
        <w:outlineLvl w:val="0"/>
        <w:rPr>
          <w:rFonts w:cs="Arial"/>
          <w:b/>
        </w:rPr>
      </w:pPr>
      <w:bookmarkStart w:name="_Toc433954244" w:id="597"/>
      <w:r>
        <w:rPr>
          <w:rFonts w:cs="Arial"/>
          <w:b/>
        </w:rPr>
        <w:lastRenderedPageBreak/>
        <w:t>EXHIBIT L</w:t>
      </w:r>
    </w:p>
    <w:p w:rsidR="0079779A" w:rsidRDefault="003E5439" w14:paraId="155CFD5C" w14:textId="77777777">
      <w:pPr>
        <w:spacing w:after="240"/>
        <w:jc w:val="center"/>
        <w:outlineLvl w:val="0"/>
        <w:rPr>
          <w:rFonts w:cs="Arial"/>
          <w:b/>
        </w:rPr>
      </w:pPr>
      <w:r>
        <w:rPr>
          <w:rFonts w:cs="Arial"/>
          <w:b/>
        </w:rPr>
        <w:t>PSA PROVISIONS</w:t>
      </w:r>
      <w:r>
        <w:rPr>
          <w:rFonts w:cs="Arial"/>
          <w:b/>
        </w:rPr>
        <w:fldChar w:fldCharType="begin"/>
      </w:r>
      <w:r>
        <w:rPr>
          <w:rFonts w:cs="Arial"/>
        </w:rPr>
        <w:instrText xml:space="preserve"> TC \l "1"</w:instrText>
      </w:r>
      <w:r>
        <w:rPr>
          <w:rFonts w:cs="Arial"/>
          <w:b/>
        </w:rPr>
        <w:fldChar w:fldCharType="end"/>
      </w:r>
    </w:p>
    <w:p w:rsidR="0079779A" w:rsidRDefault="003E5439" w14:paraId="2B7081EC" w14:textId="77777777">
      <w:pPr>
        <w:spacing w:after="200"/>
        <w:ind w:firstLine="720"/>
        <w:jc w:val="both"/>
        <w:rPr>
          <w:rFonts w:cs="Arial"/>
        </w:rPr>
      </w:pPr>
      <w:r>
        <w:rPr>
          <w:rFonts w:cs="Arial"/>
        </w:rPr>
        <w:t>Any PSA executed to implement exercise of Company’s ROFO rights will include provisions substantially as follows:</w:t>
      </w:r>
    </w:p>
    <w:p w:rsidR="0079779A" w:rsidRDefault="003E5439" w14:paraId="163509DD" w14:textId="77777777">
      <w:pPr>
        <w:numPr>
          <w:ilvl w:val="0"/>
          <w:numId w:val="37"/>
        </w:numPr>
        <w:spacing w:after="200"/>
        <w:ind w:left="0" w:firstLine="720"/>
        <w:jc w:val="both"/>
        <w:rPr>
          <w:rFonts w:cs="Arial"/>
        </w:rPr>
      </w:pPr>
      <w:r>
        <w:rPr>
          <w:rFonts w:cs="Arial"/>
        </w:rPr>
        <w:t>The PSA shall close on such Business Day as may be specified by Company, not more than 180 Days following execution of the PSA (or such longer period as may be required for the PUC to act thereon).</w:t>
      </w:r>
    </w:p>
    <w:p w:rsidR="0079779A" w:rsidRDefault="003E5439" w14:paraId="0BC80F92" w14:textId="77777777">
      <w:pPr>
        <w:numPr>
          <w:ilvl w:val="0"/>
          <w:numId w:val="37"/>
        </w:numPr>
        <w:spacing w:after="200"/>
        <w:ind w:left="0" w:firstLine="720"/>
        <w:jc w:val="both"/>
        <w:rPr>
          <w:rFonts w:cs="Arial"/>
        </w:rPr>
      </w:pPr>
      <w:r>
        <w:rPr>
          <w:rFonts w:cs="Arial"/>
        </w:rPr>
        <w:t>Seller shall operate the Facility, and both Parties shall perform the PPA, in the ordinary course of business pending closing of the PSA.</w:t>
      </w:r>
    </w:p>
    <w:p w:rsidR="0079779A" w:rsidRDefault="003E5439" w14:paraId="150A14EE" w14:textId="77777777">
      <w:pPr>
        <w:numPr>
          <w:ilvl w:val="0"/>
          <w:numId w:val="37"/>
        </w:numPr>
        <w:spacing w:after="200"/>
        <w:ind w:left="0" w:firstLine="720"/>
        <w:jc w:val="both"/>
        <w:rPr>
          <w:rFonts w:cs="Arial"/>
        </w:rPr>
      </w:pPr>
      <w:r>
        <w:rPr>
          <w:rFonts w:cs="Arial"/>
        </w:rPr>
        <w:t>Seller shall convey the Facility to Company via special warranty deed, free and clear of all mortgages, deeds of trust, UCC-1s, and other liens materially adverse to Company’s ownership and operation thereof.</w:t>
      </w:r>
    </w:p>
    <w:p w:rsidR="0079779A" w:rsidRDefault="003E5439" w14:paraId="3ED1AD7A" w14:textId="77777777">
      <w:pPr>
        <w:numPr>
          <w:ilvl w:val="0"/>
          <w:numId w:val="37"/>
        </w:numPr>
        <w:spacing w:after="200"/>
        <w:ind w:left="0" w:firstLine="720"/>
        <w:jc w:val="both"/>
        <w:rPr>
          <w:rFonts w:cs="Arial"/>
        </w:rPr>
      </w:pPr>
      <w:r>
        <w:rPr>
          <w:rFonts w:cs="Arial"/>
        </w:rPr>
        <w:t>All revenues and expenses of the Facility shall be prorated as of the date of closing.</w:t>
      </w:r>
    </w:p>
    <w:p w:rsidR="0079779A" w:rsidRDefault="003E5439" w14:paraId="0CF8F1F2" w14:textId="77777777">
      <w:pPr>
        <w:numPr>
          <w:ilvl w:val="0"/>
          <w:numId w:val="37"/>
        </w:numPr>
        <w:spacing w:after="200"/>
        <w:ind w:left="0" w:firstLine="720"/>
        <w:jc w:val="both"/>
        <w:rPr>
          <w:rFonts w:cs="Arial"/>
        </w:rPr>
      </w:pPr>
      <w:r>
        <w:rPr>
          <w:rFonts w:cs="Arial"/>
        </w:rPr>
        <w:t xml:space="preserve">Seller shall provide customary comprehensive representations, </w:t>
      </w:r>
      <w:proofErr w:type="gramStart"/>
      <w:r>
        <w:rPr>
          <w:rFonts w:cs="Arial"/>
        </w:rPr>
        <w:t>warranties</w:t>
      </w:r>
      <w:proofErr w:type="gramEnd"/>
      <w:r>
        <w:rPr>
          <w:rFonts w:cs="Arial"/>
        </w:rPr>
        <w:t xml:space="preserve"> and indemnities to Company regarding its legal right to execute and perform the PSA, and regarding title, physical condition, vendors, employees, operations, finances, contracts, maintenance and other relevant matters pertaining to the Facility, unqualified by its knowledge but subject to such factual exceptions as Seller may disclose.  Absent fraud, Seller’s liability for breach of such reps and warranties shall not exceed 100% of the purchase price.  Seller’s post-closing obligations shall be secured by a suitable combination of hold-back escrow, letter of credit and/or guaranty from a creditworthy affiliate.</w:t>
      </w:r>
    </w:p>
    <w:p w:rsidR="0079779A" w:rsidRDefault="003E5439" w14:paraId="45669579" w14:textId="77777777">
      <w:pPr>
        <w:numPr>
          <w:ilvl w:val="0"/>
          <w:numId w:val="37"/>
        </w:numPr>
        <w:spacing w:after="200"/>
        <w:ind w:left="0" w:firstLine="720"/>
        <w:jc w:val="both"/>
        <w:rPr>
          <w:rFonts w:cs="Arial"/>
        </w:rPr>
      </w:pPr>
      <w:r>
        <w:rPr>
          <w:rFonts w:cs="Arial"/>
        </w:rPr>
        <w:t>Company shall provide customary representations and warranties to Seller regarding its capacity and legal right to execute and perform the PSA, unqualified by its knowledge.</w:t>
      </w:r>
    </w:p>
    <w:p w:rsidR="0079779A" w:rsidRDefault="003E5439" w14:paraId="0B812484" w14:textId="77777777">
      <w:pPr>
        <w:numPr>
          <w:ilvl w:val="0"/>
          <w:numId w:val="37"/>
        </w:numPr>
        <w:spacing w:after="200"/>
        <w:ind w:left="0" w:firstLine="720"/>
        <w:jc w:val="both"/>
        <w:rPr>
          <w:rFonts w:cs="Arial"/>
        </w:rPr>
      </w:pPr>
      <w:r>
        <w:rPr>
          <w:rFonts w:cs="Arial"/>
        </w:rPr>
        <w:t>Company shall assume all material contracts of Seller related to the Facility that are reviewed and approved by Company (such approval not to be unreasonably withheld) during the due diligence period.</w:t>
      </w:r>
    </w:p>
    <w:p w:rsidR="0079779A" w:rsidRDefault="003E5439" w14:paraId="7462A275" w14:textId="77777777">
      <w:pPr>
        <w:numPr>
          <w:ilvl w:val="0"/>
          <w:numId w:val="37"/>
        </w:numPr>
        <w:spacing w:after="200"/>
        <w:ind w:left="0" w:firstLine="720"/>
        <w:jc w:val="both"/>
        <w:rPr>
          <w:rFonts w:cs="Arial"/>
        </w:rPr>
      </w:pPr>
      <w:r>
        <w:rPr>
          <w:rFonts w:cs="Arial"/>
        </w:rPr>
        <w:t xml:space="preserve">Company’s obligation to close shall be conditioned upon (i) approval by the PUC, (ii) counterparty consent under all material contracts requiring such consent, (iii) receipt by Company of all Permits needed to own and operate the Facility, and (iv) no material casualty or condemnation of the Facility prior to closing.  </w:t>
      </w:r>
    </w:p>
    <w:p w:rsidR="0079779A" w:rsidRDefault="003E5439" w14:paraId="06FF5FCA" w14:textId="77777777">
      <w:pPr>
        <w:numPr>
          <w:ilvl w:val="0"/>
          <w:numId w:val="37"/>
        </w:numPr>
        <w:spacing w:after="200"/>
        <w:ind w:left="0" w:firstLine="720"/>
        <w:jc w:val="both"/>
        <w:rPr>
          <w:rFonts w:cs="Arial"/>
        </w:rPr>
      </w:pPr>
      <w:r>
        <w:rPr>
          <w:rFonts w:cs="Arial"/>
        </w:rPr>
        <w:t>Company shall have the right of specific performance, without the need to post bond or prove irreparable harm from Seller’s failure to close.  Venue for any dispute under the PSA shall be the State District Court for the County in which the Facility is located.</w:t>
      </w:r>
    </w:p>
    <w:p w:rsidR="0079779A" w:rsidRDefault="003E5439" w14:paraId="0E0A7079" w14:textId="77777777">
      <w:pPr>
        <w:numPr>
          <w:ilvl w:val="0"/>
          <w:numId w:val="37"/>
        </w:numPr>
        <w:spacing w:after="240"/>
        <w:ind w:left="0" w:firstLine="720"/>
        <w:jc w:val="both"/>
        <w:rPr>
          <w:rFonts w:cs="Arial"/>
        </w:rPr>
        <w:sectPr w:rsidR="0079779A">
          <w:footerReference w:type="default" r:id="rId47"/>
          <w:pgSz w:w="12240" w:h="15840" w:code="1"/>
          <w:pgMar w:top="1440" w:right="1440" w:bottom="1440" w:left="1440" w:header="720" w:footer="720" w:gutter="0"/>
          <w:pgNumType w:start="1"/>
          <w:cols w:space="720"/>
        </w:sectPr>
      </w:pPr>
      <w:r>
        <w:rPr>
          <w:rFonts w:cs="Arial"/>
        </w:rPr>
        <w:t xml:space="preserve">Such other terms as may then be standard in the market. </w:t>
      </w:r>
    </w:p>
    <w:bookmarkEnd w:id="597"/>
    <w:p w:rsidR="0079779A" w:rsidRDefault="003E5439" w14:paraId="41898C40" w14:textId="77777777">
      <w:pPr>
        <w:pageBreakBefore/>
        <w:spacing w:after="120"/>
        <w:ind w:left="360"/>
        <w:jc w:val="center"/>
        <w:outlineLvl w:val="0"/>
        <w:rPr>
          <w:rFonts w:cs="Arial"/>
          <w:b/>
        </w:rPr>
      </w:pPr>
      <w:r>
        <w:rPr>
          <w:rFonts w:cs="Arial"/>
          <w:b/>
        </w:rPr>
        <w:lastRenderedPageBreak/>
        <w:t>EXHIBIT M</w:t>
      </w:r>
    </w:p>
    <w:p w:rsidR="0079779A" w:rsidRDefault="003E5439" w14:paraId="54D6593A" w14:textId="77777777">
      <w:pPr>
        <w:spacing w:after="360"/>
        <w:ind w:left="360"/>
        <w:jc w:val="center"/>
        <w:outlineLvl w:val="0"/>
        <w:rPr>
          <w:rFonts w:cs="Arial"/>
          <w:b/>
        </w:rPr>
      </w:pPr>
      <w:r>
        <w:rPr>
          <w:rFonts w:cs="Arial"/>
          <w:b/>
        </w:rPr>
        <w:t>BATTERY STORAGE SYSTEM TESTING PROTOCOLS</w:t>
      </w:r>
    </w:p>
    <w:p w:rsidR="0079779A" w:rsidRDefault="003E5439" w14:paraId="3E29E814" w14:textId="77777777">
      <w:r>
        <w:t xml:space="preserve">This </w:t>
      </w:r>
      <w:r>
        <w:rPr>
          <w:u w:val="single"/>
        </w:rPr>
        <w:t>Exhibit M</w:t>
      </w:r>
      <w:r>
        <w:t xml:space="preserve"> sets forth the Performance Criteria and protocols for any testing of the</w:t>
      </w:r>
      <w:r>
        <w:rPr>
          <w:rFonts w:cs="Arial"/>
        </w:rPr>
        <w:t xml:space="preserve"> </w:t>
      </w:r>
      <w:r>
        <w:t xml:space="preserve">Battery Storage System under this PPA. </w:t>
      </w:r>
      <w:r>
        <w:rPr>
          <w:rFonts w:cs="Arial"/>
        </w:rPr>
        <w:t xml:space="preserve"> The Commercial Operation Test, Periodic Test, and other discretionary testing identified in </w:t>
      </w:r>
      <w:r>
        <w:rPr>
          <w:rFonts w:cs="Arial"/>
          <w:u w:val="single"/>
        </w:rPr>
        <w:t>Section 5.6</w:t>
      </w:r>
      <w:r>
        <w:rPr>
          <w:rFonts w:cs="Arial"/>
        </w:rPr>
        <w:t xml:space="preserve"> are sometimes referred to in this Exhibit individually as a “</w:t>
      </w:r>
      <w:r>
        <w:rPr>
          <w:rFonts w:cs="Arial"/>
          <w:u w:val="single"/>
        </w:rPr>
        <w:t>Test</w:t>
      </w:r>
      <w:r>
        <w:rPr>
          <w:rFonts w:cs="Arial"/>
        </w:rPr>
        <w:t>” and jointly as the “</w:t>
      </w:r>
      <w:r>
        <w:rPr>
          <w:rFonts w:cs="Arial"/>
          <w:u w:val="single"/>
        </w:rPr>
        <w:t>Tests</w:t>
      </w:r>
      <w:r>
        <w:rPr>
          <w:rFonts w:cs="Arial"/>
        </w:rPr>
        <w:t>.”</w:t>
      </w:r>
    </w:p>
    <w:p w:rsidR="0079779A" w:rsidRDefault="003E5439" w14:paraId="68B91138" w14:textId="77777777">
      <w:pPr>
        <w:rPr>
          <w:rFonts w:cs="Arial"/>
        </w:rPr>
      </w:pPr>
      <w:r>
        <w:rPr>
          <w:rFonts w:cs="Arial"/>
        </w:rPr>
        <w:t>PART I.</w:t>
      </w:r>
      <w:r>
        <w:rPr>
          <w:rFonts w:cs="Arial"/>
        </w:rPr>
        <w:tab/>
        <w:t xml:space="preserve">GENERAL. </w:t>
      </w:r>
    </w:p>
    <w:p w:rsidR="0079779A" w:rsidRDefault="003E5439" w14:paraId="1ED675E6" w14:textId="77777777">
      <w:pPr>
        <w:rPr>
          <w:rFonts w:cs="Arial"/>
        </w:rPr>
      </w:pPr>
      <w:r>
        <w:rPr>
          <w:rFonts w:cs="Arial"/>
        </w:rPr>
        <w:t xml:space="preserve">The Tests shall be conducted in accordance with Good Utility Practices and the provisions of this </w:t>
      </w:r>
      <w:r>
        <w:rPr>
          <w:rFonts w:cs="Arial"/>
          <w:u w:val="single"/>
        </w:rPr>
        <w:t>Exhibit M</w:t>
      </w:r>
      <w:r>
        <w:rPr>
          <w:rFonts w:cs="Arial"/>
        </w:rPr>
        <w:t xml:space="preserve">.  </w:t>
      </w:r>
    </w:p>
    <w:p w:rsidR="0079779A" w:rsidRDefault="003E5439" w14:paraId="2475C941" w14:textId="77777777">
      <w:pPr>
        <w:rPr>
          <w:rFonts w:cs="Arial"/>
        </w:rPr>
      </w:pPr>
      <w:r>
        <w:rPr>
          <w:rFonts w:cs="Arial"/>
        </w:rPr>
        <w:t>PART II.</w:t>
      </w:r>
      <w:r>
        <w:rPr>
          <w:rFonts w:cs="Arial"/>
        </w:rPr>
        <w:tab/>
        <w:t>REQUIREMENTS APPLICABLE TO THE TESTS.</w:t>
      </w:r>
    </w:p>
    <w:p w:rsidR="0079779A" w:rsidRDefault="003E5439" w14:paraId="55B68E24" w14:textId="77777777">
      <w:pPr>
        <w:numPr>
          <w:ilvl w:val="0"/>
          <w:numId w:val="42"/>
        </w:numPr>
        <w:ind w:hanging="720"/>
        <w:rPr>
          <w:rFonts w:cs="Arial"/>
        </w:rPr>
      </w:pPr>
      <w:r>
        <w:rPr>
          <w:rFonts w:cs="Arial"/>
          <w:u w:val="single"/>
        </w:rPr>
        <w:t>Required Performance Criteria</w:t>
      </w:r>
      <w:r>
        <w:rPr>
          <w:rFonts w:cs="Arial"/>
        </w:rPr>
        <w:t xml:space="preserve">. </w:t>
      </w:r>
    </w:p>
    <w:p w:rsidR="0079779A" w:rsidRDefault="003E5439" w14:paraId="5777D883" w14:textId="77777777">
      <w:pPr>
        <w:ind w:left="1440"/>
        <w:rPr>
          <w:rFonts w:cs="Arial"/>
        </w:rPr>
      </w:pPr>
      <w:r>
        <w:rPr>
          <w:rFonts w:cs="Arial"/>
        </w:rPr>
        <w:t>Tests conducted pursuant</w:t>
      </w:r>
      <w:r>
        <w:t xml:space="preserve"> to </w:t>
      </w:r>
      <w:r>
        <w:rPr>
          <w:rFonts w:cs="Arial"/>
        </w:rPr>
        <w:t xml:space="preserve">this </w:t>
      </w:r>
      <w:r>
        <w:rPr>
          <w:rFonts w:cs="Arial"/>
          <w:noProof/>
          <w:u w:val="single"/>
        </w:rPr>
        <w:t>Exhibit M</w:t>
      </w:r>
      <w:r>
        <w:rPr>
          <w:rFonts w:cs="Arial"/>
        </w:rPr>
        <w:t xml:space="preserve"> shall include</w:t>
      </w:r>
      <w:r>
        <w:t xml:space="preserve"> the </w:t>
      </w:r>
      <w:r>
        <w:rPr>
          <w:rFonts w:cs="Arial"/>
        </w:rPr>
        <w:t>following elements (unless Company otherwise agrees in writing in its sole discretion):</w:t>
      </w:r>
    </w:p>
    <w:p w:rsidR="0079779A" w:rsidRDefault="003E5439" w14:paraId="2BBA06D6" w14:textId="77777777">
      <w:pPr>
        <w:rPr>
          <w:rFonts w:cs="Arial"/>
        </w:rPr>
      </w:pPr>
      <w:r>
        <w:rPr>
          <w:rFonts w:cs="Arial"/>
        </w:rPr>
        <w:tab/>
      </w:r>
    </w:p>
    <w:p w:rsidR="0079779A" w:rsidRDefault="003E5439" w14:paraId="1AA51324" w14:textId="77777777">
      <w:pPr>
        <w:numPr>
          <w:ilvl w:val="0"/>
          <w:numId w:val="40"/>
        </w:numPr>
        <w:tabs>
          <w:tab w:val="clear" w:pos="1440"/>
        </w:tabs>
        <w:spacing w:after="240"/>
        <w:ind w:left="2160" w:hanging="720"/>
        <w:rPr>
          <w:rFonts w:cs="Arial"/>
        </w:rPr>
      </w:pPr>
      <w:r>
        <w:rPr>
          <w:rFonts w:cs="Arial"/>
        </w:rPr>
        <w:t>“</w:t>
      </w:r>
      <w:r>
        <w:rPr>
          <w:rFonts w:cs="Arial"/>
          <w:u w:val="single"/>
        </w:rPr>
        <w:t>Availability</w:t>
      </w:r>
      <w:r>
        <w:rPr>
          <w:rFonts w:cs="Arial"/>
        </w:rPr>
        <w:t>” is defined as the ability of the system to receive and respond to signals from the EMCC. This value is calculated as the ratio of time the system can function as described to total time within the annual measured period, calculated as a percentage. Availability is not negatively impacted by outages beyond the control of the vendor, including:</w:t>
      </w:r>
    </w:p>
    <w:p w:rsidR="0079779A" w:rsidRDefault="003E5439" w14:paraId="49DC05EC" w14:textId="77777777">
      <w:pPr>
        <w:pStyle w:val="ListParagraph"/>
        <w:widowControl w:val="0"/>
        <w:numPr>
          <w:ilvl w:val="0"/>
          <w:numId w:val="48"/>
        </w:numPr>
        <w:adjustRightInd w:val="0"/>
        <w:textAlignment w:val="baseline"/>
        <w:rPr>
          <w:color w:val="000000"/>
        </w:rPr>
      </w:pPr>
      <w:r>
        <w:rPr>
          <w:rFonts w:cs="Arial"/>
          <w:bCs/>
          <w:noProof/>
          <w:color w:val="000000"/>
        </w:rPr>
        <w:t xml:space="preserve">any Outage where Seller failed to comply with a Dispatch Notice that was not in accordance with </w:t>
      </w:r>
      <w:r>
        <w:rPr>
          <w:color w:val="000000"/>
        </w:rPr>
        <w:t xml:space="preserve">the Battery Storage System </w:t>
      </w:r>
      <w:r>
        <w:rPr>
          <w:rFonts w:cs="Arial"/>
          <w:bCs/>
          <w:noProof/>
          <w:color w:val="000000"/>
        </w:rPr>
        <w:t xml:space="preserve">Operating Procedures; </w:t>
      </w:r>
    </w:p>
    <w:p w:rsidR="0079779A" w:rsidRDefault="003E5439" w14:paraId="18DC1145" w14:textId="77777777">
      <w:pPr>
        <w:pStyle w:val="ListParagraph"/>
        <w:widowControl w:val="0"/>
        <w:numPr>
          <w:ilvl w:val="0"/>
          <w:numId w:val="48"/>
        </w:numPr>
        <w:adjustRightInd w:val="0"/>
        <w:textAlignment w:val="baseline"/>
        <w:rPr>
          <w:rFonts w:cs="Arial"/>
          <w:bCs/>
          <w:noProof/>
          <w:color w:val="000000"/>
        </w:rPr>
      </w:pPr>
      <w:r>
        <w:rPr>
          <w:rFonts w:cs="Arial"/>
          <w:bCs/>
          <w:noProof/>
          <w:color w:val="000000"/>
        </w:rPr>
        <w:t xml:space="preserve">Force Majeure; or </w:t>
      </w:r>
    </w:p>
    <w:p w:rsidR="0079779A" w:rsidRDefault="003E5439" w14:paraId="4D8F3212" w14:textId="77777777">
      <w:pPr>
        <w:pStyle w:val="ListParagraph"/>
        <w:widowControl w:val="0"/>
        <w:numPr>
          <w:ilvl w:val="0"/>
          <w:numId w:val="48"/>
        </w:numPr>
        <w:adjustRightInd w:val="0"/>
        <w:textAlignment w:val="baseline"/>
        <w:rPr>
          <w:rFonts w:cs="Arial"/>
          <w:bCs/>
          <w:noProof/>
          <w:color w:val="000000"/>
        </w:rPr>
      </w:pPr>
      <w:r>
        <w:rPr>
          <w:rFonts w:cs="Arial"/>
          <w:bCs/>
          <w:noProof/>
          <w:color w:val="000000"/>
        </w:rPr>
        <w:t>a breach of this Agreement by Company that prohibits the ability of the system to receive and respond to signals from the EMCC.</w:t>
      </w:r>
    </w:p>
    <w:p w:rsidR="0079779A" w:rsidRDefault="003E5439" w14:paraId="0980CA9D" w14:textId="77777777">
      <w:pPr>
        <w:numPr>
          <w:ilvl w:val="0"/>
          <w:numId w:val="40"/>
        </w:numPr>
        <w:tabs>
          <w:tab w:val="clear" w:pos="1440"/>
        </w:tabs>
        <w:spacing w:after="240"/>
        <w:ind w:left="2160" w:hanging="720"/>
        <w:rPr>
          <w:rFonts w:cs="Arial"/>
        </w:rPr>
      </w:pPr>
      <w:r>
        <w:rPr>
          <w:rFonts w:cs="Arial"/>
          <w:color w:val="000000"/>
        </w:rPr>
        <w:t>“</w:t>
      </w:r>
      <w:r>
        <w:rPr>
          <w:rFonts w:cs="Arial"/>
          <w:color w:val="000000"/>
          <w:u w:val="single"/>
        </w:rPr>
        <w:t>Enterprise Wide Information System</w:t>
      </w:r>
      <w:r>
        <w:rPr>
          <w:rFonts w:cs="Arial"/>
          <w:color w:val="000000"/>
        </w:rPr>
        <w:t>” (“EWIS”) means the Company supplied OSI/PI Servers and software used by the Battery Storage System to record historical operations parameters or compatible replacement.</w:t>
      </w:r>
      <w:r>
        <w:rPr>
          <w:rFonts w:cs="Arial"/>
        </w:rPr>
        <w:t xml:space="preserve"> </w:t>
      </w:r>
    </w:p>
    <w:p w:rsidR="0079779A" w:rsidRDefault="003E5439" w14:paraId="2CE995FE" w14:textId="77777777">
      <w:pPr>
        <w:numPr>
          <w:ilvl w:val="0"/>
          <w:numId w:val="40"/>
        </w:numPr>
        <w:tabs>
          <w:tab w:val="clear" w:pos="1440"/>
        </w:tabs>
        <w:spacing w:after="240"/>
        <w:ind w:left="2160" w:hanging="720"/>
        <w:rPr>
          <w:rFonts w:cs="Arial"/>
          <w:color w:val="000000"/>
        </w:rPr>
      </w:pPr>
      <w:r>
        <w:rPr>
          <w:rFonts w:cs="Arial"/>
          <w:color w:val="000000"/>
        </w:rPr>
        <w:t>“</w:t>
      </w:r>
      <w:r>
        <w:rPr>
          <w:rFonts w:cs="Arial"/>
          <w:color w:val="000000"/>
          <w:u w:val="single"/>
        </w:rPr>
        <w:t>Battery Management System</w:t>
      </w:r>
      <w:r>
        <w:rPr>
          <w:rFonts w:cs="Arial"/>
          <w:color w:val="000000"/>
        </w:rPr>
        <w:t>” or “</w:t>
      </w:r>
      <w:r>
        <w:rPr>
          <w:rFonts w:cs="Arial"/>
          <w:color w:val="000000"/>
          <w:u w:val="single"/>
        </w:rPr>
        <w:t>BMS</w:t>
      </w:r>
      <w:r>
        <w:rPr>
          <w:rFonts w:cs="Arial"/>
          <w:color w:val="000000"/>
        </w:rPr>
        <w:t>” is defined as the electronic control and communication system that manages and protects the Battery Storage System.</w:t>
      </w:r>
    </w:p>
    <w:p w:rsidR="0079779A" w:rsidRDefault="003E5439" w14:paraId="182C0A84" w14:textId="77777777">
      <w:pPr>
        <w:numPr>
          <w:ilvl w:val="0"/>
          <w:numId w:val="40"/>
        </w:numPr>
        <w:tabs>
          <w:tab w:val="clear" w:pos="1440"/>
        </w:tabs>
        <w:spacing w:after="240"/>
        <w:ind w:left="2160" w:hanging="720"/>
        <w:rPr>
          <w:rFonts w:cs="Arial"/>
        </w:rPr>
      </w:pPr>
      <w:r>
        <w:rPr>
          <w:rFonts w:cs="Arial"/>
        </w:rPr>
        <w:t>“</w:t>
      </w:r>
      <w:r>
        <w:rPr>
          <w:rFonts w:cs="Arial"/>
          <w:u w:val="single"/>
        </w:rPr>
        <w:t>Grid Charging Capability</w:t>
      </w:r>
      <w:r>
        <w:rPr>
          <w:rFonts w:cs="Arial"/>
        </w:rPr>
        <w:t xml:space="preserve">” means the ability for the Battery Storage System to charge and store Charging Energy delivered from an offsite source by the Transmission Authority’s electrical system. </w:t>
      </w:r>
    </w:p>
    <w:p w:rsidR="0079779A" w:rsidRDefault="003E5439" w14:paraId="6C9C2A3D" w14:textId="0806E2D6">
      <w:pPr>
        <w:numPr>
          <w:ilvl w:val="0"/>
          <w:numId w:val="40"/>
        </w:numPr>
        <w:tabs>
          <w:tab w:val="clear" w:pos="1440"/>
        </w:tabs>
        <w:spacing w:after="240"/>
        <w:ind w:left="2160" w:hanging="720"/>
        <w:rPr>
          <w:rFonts w:cs="Arial"/>
        </w:rPr>
      </w:pPr>
      <w:r>
        <w:rPr>
          <w:rFonts w:cs="Arial"/>
        </w:rPr>
        <w:t>“</w:t>
      </w:r>
      <w:r>
        <w:rPr>
          <w:rFonts w:cs="Arial"/>
          <w:u w:val="single"/>
        </w:rPr>
        <w:t>Storage Capacity</w:t>
      </w:r>
      <w:r>
        <w:rPr>
          <w:rFonts w:cs="Arial"/>
        </w:rPr>
        <w:t>” is defined as the rated amount of energy that the Battery Storage System can hold, measured in MWh</w:t>
      </w:r>
      <w:r w:rsidR="00D96024">
        <w:rPr>
          <w:rFonts w:cs="Arial"/>
        </w:rPr>
        <w:t xml:space="preserve"> or MW, as applicable</w:t>
      </w:r>
      <w:r>
        <w:rPr>
          <w:rFonts w:cs="Arial"/>
        </w:rPr>
        <w:t xml:space="preserve"> and measured at the Point of Delivery. </w:t>
      </w:r>
    </w:p>
    <w:p w:rsidR="0079779A" w:rsidRDefault="003E5439" w14:paraId="3E0D6085" w14:textId="77777777">
      <w:pPr>
        <w:numPr>
          <w:ilvl w:val="0"/>
          <w:numId w:val="40"/>
        </w:numPr>
        <w:tabs>
          <w:tab w:val="clear" w:pos="1440"/>
        </w:tabs>
        <w:spacing w:after="240"/>
        <w:ind w:left="2160" w:hanging="720"/>
      </w:pPr>
      <w:r>
        <w:rPr>
          <w:rFonts w:cs="Arial"/>
        </w:rPr>
        <w:lastRenderedPageBreak/>
        <w:t>“</w:t>
      </w:r>
      <w:r>
        <w:rPr>
          <w:u w:val="single"/>
        </w:rPr>
        <w:t>Self-Discharge Rate</w:t>
      </w:r>
      <w:r>
        <w:rPr>
          <w:rFonts w:cs="Arial"/>
        </w:rPr>
        <w:t xml:space="preserve">” is defined as the loss of charge of the Battery Storage System while idle.  </w:t>
      </w:r>
    </w:p>
    <w:p w:rsidR="0079779A" w:rsidRDefault="003E5439" w14:paraId="223C999F" w14:textId="77777777">
      <w:pPr>
        <w:numPr>
          <w:ilvl w:val="0"/>
          <w:numId w:val="40"/>
        </w:numPr>
        <w:tabs>
          <w:tab w:val="clear" w:pos="1440"/>
        </w:tabs>
        <w:spacing w:after="240"/>
        <w:ind w:left="2160" w:hanging="720"/>
        <w:rPr>
          <w:rFonts w:cs="Arial"/>
        </w:rPr>
      </w:pPr>
      <w:r>
        <w:rPr>
          <w:rFonts w:cs="Arial"/>
        </w:rPr>
        <w:t>“</w:t>
      </w:r>
      <w:r>
        <w:rPr>
          <w:rFonts w:cs="Arial"/>
          <w:u w:val="single"/>
        </w:rPr>
        <w:t>Minimum Charging Time</w:t>
      </w:r>
      <w:r>
        <w:rPr>
          <w:rFonts w:cs="Arial"/>
        </w:rPr>
        <w:t>” is defined as the amount of time between a measurement of 0% State of Charge (SOC) to reaching full Storage Capacity (expressed in units of time).</w:t>
      </w:r>
    </w:p>
    <w:p w:rsidR="0079779A" w:rsidRDefault="003E5439" w14:paraId="09DE314C" w14:textId="77777777">
      <w:pPr>
        <w:numPr>
          <w:ilvl w:val="0"/>
          <w:numId w:val="40"/>
        </w:numPr>
        <w:tabs>
          <w:tab w:val="clear" w:pos="1440"/>
        </w:tabs>
        <w:spacing w:after="240"/>
        <w:ind w:left="2160" w:hanging="720"/>
        <w:rPr>
          <w:rFonts w:cs="Arial"/>
        </w:rPr>
      </w:pPr>
      <w:r>
        <w:rPr>
          <w:rFonts w:cs="Arial"/>
        </w:rPr>
        <w:t>“</w:t>
      </w:r>
      <w:r>
        <w:rPr>
          <w:rFonts w:cs="Arial"/>
          <w:u w:val="single"/>
        </w:rPr>
        <w:t>Minimum Discharging Time</w:t>
      </w:r>
      <w:r>
        <w:rPr>
          <w:rFonts w:cs="Arial"/>
        </w:rPr>
        <w:t>” is defined as the amount of time between full Storage Capacity to reaching a measurement of 0% SOC (expressed in units of time).</w:t>
      </w:r>
    </w:p>
    <w:p w:rsidR="0079779A" w:rsidRDefault="003E5439" w14:paraId="2C15DD7E" w14:textId="77777777">
      <w:pPr>
        <w:numPr>
          <w:ilvl w:val="0"/>
          <w:numId w:val="40"/>
        </w:numPr>
        <w:tabs>
          <w:tab w:val="clear" w:pos="1440"/>
        </w:tabs>
        <w:spacing w:after="240"/>
        <w:ind w:left="2160" w:hanging="720"/>
      </w:pPr>
      <w:r>
        <w:rPr>
          <w:rFonts w:cs="Arial"/>
        </w:rPr>
        <w:t>“</w:t>
      </w:r>
      <w:r>
        <w:rPr>
          <w:u w:val="single"/>
        </w:rPr>
        <w:t>Maximum Charging Rate</w:t>
      </w:r>
      <w:r>
        <w:rPr>
          <w:rFonts w:cs="Arial"/>
        </w:rPr>
        <w:t xml:space="preserve">” is defined as the maximum rate of charging (expressed in MW). </w:t>
      </w:r>
    </w:p>
    <w:p w:rsidR="0079779A" w:rsidRDefault="003E5439" w14:paraId="5DDEFD0B" w14:textId="77777777">
      <w:pPr>
        <w:numPr>
          <w:ilvl w:val="0"/>
          <w:numId w:val="40"/>
        </w:numPr>
        <w:tabs>
          <w:tab w:val="clear" w:pos="1440"/>
        </w:tabs>
        <w:spacing w:after="240"/>
        <w:ind w:left="2160" w:hanging="720"/>
      </w:pPr>
      <w:r>
        <w:rPr>
          <w:rFonts w:cs="Arial"/>
        </w:rPr>
        <w:t>“</w:t>
      </w:r>
      <w:r>
        <w:rPr>
          <w:u w:val="single"/>
        </w:rPr>
        <w:t>Maximum Discharging Rate</w:t>
      </w:r>
      <w:r>
        <w:rPr>
          <w:rFonts w:cs="Arial"/>
        </w:rPr>
        <w:t xml:space="preserve">” is defined as the maximum rate of discharging (expressed in MW). </w:t>
      </w:r>
    </w:p>
    <w:p w:rsidR="0079779A" w:rsidRDefault="003E5439" w14:paraId="4E9E79C5" w14:textId="77777777">
      <w:pPr>
        <w:numPr>
          <w:ilvl w:val="0"/>
          <w:numId w:val="40"/>
        </w:numPr>
        <w:tabs>
          <w:tab w:val="clear" w:pos="1440"/>
        </w:tabs>
        <w:spacing w:after="240"/>
        <w:ind w:left="2160" w:hanging="720"/>
        <w:rPr>
          <w:rFonts w:cs="Arial"/>
        </w:rPr>
      </w:pPr>
      <w:r>
        <w:rPr>
          <w:rFonts w:cs="Arial"/>
          <w:color w:val="000000"/>
        </w:rPr>
        <w:t>“</w:t>
      </w:r>
      <w:r>
        <w:rPr>
          <w:rFonts w:cs="Arial"/>
          <w:color w:val="000000"/>
          <w:u w:val="single"/>
        </w:rPr>
        <w:t>Performance Test</w:t>
      </w:r>
      <w:r>
        <w:rPr>
          <w:rFonts w:cs="Arial"/>
          <w:color w:val="000000"/>
        </w:rPr>
        <w:t>” means the Maximum Charging Rate, Maximum Discharging Rate, Minimum Discharging</w:t>
      </w:r>
      <w:r>
        <w:rPr>
          <w:color w:val="000000"/>
        </w:rPr>
        <w:t xml:space="preserve"> Time</w:t>
      </w:r>
      <w:r>
        <w:rPr>
          <w:rFonts w:cs="Arial"/>
          <w:color w:val="000000"/>
        </w:rPr>
        <w:t xml:space="preserve">, Minimum </w:t>
      </w:r>
      <w:r>
        <w:rPr>
          <w:color w:val="000000"/>
        </w:rPr>
        <w:t xml:space="preserve">Charging </w:t>
      </w:r>
      <w:r>
        <w:rPr>
          <w:rFonts w:cs="Arial"/>
          <w:color w:val="000000"/>
        </w:rPr>
        <w:t xml:space="preserve">Time, Storage Capacity, and </w:t>
      </w:r>
      <w:r>
        <w:rPr>
          <w:color w:val="000000"/>
        </w:rPr>
        <w:t xml:space="preserve">Round Trip Efficiency </w:t>
      </w:r>
      <w:r>
        <w:rPr>
          <w:rFonts w:cs="Arial"/>
          <w:color w:val="000000"/>
        </w:rPr>
        <w:t>of the Battery Storage System tests.</w:t>
      </w:r>
    </w:p>
    <w:p w:rsidR="0079779A" w:rsidRDefault="003E5439" w14:paraId="30B24E30" w14:textId="77777777">
      <w:pPr>
        <w:numPr>
          <w:ilvl w:val="0"/>
          <w:numId w:val="40"/>
        </w:numPr>
        <w:tabs>
          <w:tab w:val="clear" w:pos="1440"/>
        </w:tabs>
        <w:spacing w:after="240"/>
        <w:ind w:left="2160" w:hanging="720"/>
      </w:pPr>
      <w:r>
        <w:rPr>
          <w:rFonts w:cs="Arial"/>
        </w:rPr>
        <w:t>“</w:t>
      </w:r>
      <w:r>
        <w:rPr>
          <w:u w:val="single"/>
        </w:rPr>
        <w:t>Round Trip Efficiency</w:t>
      </w:r>
      <w:r>
        <w:rPr>
          <w:rFonts w:cs="Arial"/>
        </w:rPr>
        <w:t xml:space="preserve">” is defined as the amount of Discharging Energy discharged by the Battery Storage System relative to the amount of Charging Energy, measured at the Point of Delivery, calculated as shown below </w:t>
      </w:r>
    </w:p>
    <w:p w:rsidR="0079779A" w:rsidRDefault="003E5439" w14:paraId="436E5630" w14:textId="77777777">
      <w:pPr>
        <w:pStyle w:val="ListParagraph"/>
        <w:ind w:left="1440"/>
        <w:jc w:val="center"/>
      </w:pPr>
      <m:oMathPara>
        <m:oMath>
          <m:r>
            <w:rPr>
              <w:rFonts w:ascii="Cambria Math" w:hAnsi="Cambria Math"/>
            </w:rPr>
            <m:t xml:space="preserve">Round Trip Efficiency </m:t>
          </m:r>
          <m:d>
            <m:dPr>
              <m:ctrlPr>
                <w:rPr>
                  <w:rFonts w:ascii="Cambria Math" w:hAnsi="Cambria Math"/>
                  <w:i/>
                </w:rPr>
              </m:ctrlPr>
            </m:dPr>
            <m:e>
              <m:r>
                <w:rPr>
                  <w:rFonts w:ascii="Cambria Math" w:hAnsi="Cambria Math"/>
                </w:rPr>
                <m:t>RTE</m:t>
              </m:r>
            </m:e>
          </m:d>
          <m:r>
            <w:rPr>
              <w:rFonts w:ascii="Cambria Math" w:hAnsi="Cambria Math"/>
            </w:rPr>
            <m:t>=</m:t>
          </m:r>
          <m:f>
            <m:fPr>
              <m:ctrlPr>
                <w:rPr>
                  <w:rFonts w:ascii="Cambria Math" w:hAnsi="Cambria Math"/>
                </w:rPr>
              </m:ctrlPr>
            </m:fPr>
            <m:num>
              <m:r>
                <w:rPr>
                  <w:rFonts w:ascii="Cambria Math" w:hAnsi="Cambria Math"/>
                </w:rPr>
                <m:t>Battery Energy (WhD)</m:t>
              </m:r>
            </m:num>
            <m:den>
              <m:r>
                <w:rPr>
                  <w:rFonts w:ascii="Cambria Math" w:hAnsi="Cambria Math"/>
                </w:rPr>
                <m:t>Charging Energy (WhI)</m:t>
              </m:r>
            </m:den>
          </m:f>
        </m:oMath>
      </m:oMathPara>
    </w:p>
    <w:p w:rsidR="0079779A" w:rsidRDefault="003E5439" w14:paraId="7AED459A" w14:textId="77777777">
      <w:pPr>
        <w:numPr>
          <w:ilvl w:val="0"/>
          <w:numId w:val="40"/>
        </w:numPr>
        <w:tabs>
          <w:tab w:val="clear" w:pos="1440"/>
        </w:tabs>
        <w:spacing w:after="240"/>
        <w:ind w:left="2160" w:hanging="720"/>
        <w:rPr>
          <w:rFonts w:cs="Arial"/>
        </w:rPr>
      </w:pPr>
      <w:r>
        <w:rPr>
          <w:rFonts w:cs="Arial"/>
        </w:rPr>
        <w:t>“</w:t>
      </w:r>
      <w:r>
        <w:rPr>
          <w:rFonts w:cs="Arial"/>
          <w:u w:val="single"/>
        </w:rPr>
        <w:t>Ramp Rate</w:t>
      </w:r>
      <w:r>
        <w:rPr>
          <w:rFonts w:cs="Arial"/>
        </w:rPr>
        <w:t xml:space="preserve">” </w:t>
      </w:r>
      <w:r>
        <w:t xml:space="preserve">shall have </w:t>
      </w:r>
      <w:r>
        <w:rPr>
          <w:rFonts w:cs="Arial"/>
        </w:rPr>
        <w:t xml:space="preserve">the meaning set forth in the Transmission Tariff. </w:t>
      </w:r>
    </w:p>
    <w:p w:rsidR="0079779A" w:rsidRDefault="003E5439" w14:paraId="7B9420CC" w14:textId="77777777">
      <w:pPr>
        <w:numPr>
          <w:ilvl w:val="0"/>
          <w:numId w:val="40"/>
        </w:numPr>
        <w:tabs>
          <w:tab w:val="clear" w:pos="1440"/>
        </w:tabs>
        <w:spacing w:after="240"/>
        <w:ind w:left="2160" w:hanging="720"/>
        <w:rPr>
          <w:rFonts w:cs="Arial"/>
        </w:rPr>
      </w:pPr>
      <w:r>
        <w:rPr>
          <w:rFonts w:cs="Arial"/>
        </w:rPr>
        <w:t>“</w:t>
      </w:r>
      <w:r>
        <w:rPr>
          <w:rFonts w:cs="Arial"/>
          <w:u w:val="single"/>
        </w:rPr>
        <w:t>Response Time</w:t>
      </w:r>
      <w:r>
        <w:rPr>
          <w:rFonts w:cs="Arial"/>
        </w:rPr>
        <w:t xml:space="preserve">” is defined as the amount of time for the Battery Storage System to dispatch instructions from Company’s SCADA. </w:t>
      </w:r>
    </w:p>
    <w:p w:rsidR="0079779A" w:rsidRDefault="003E5439" w14:paraId="7CBB3C0D" w14:textId="77777777">
      <w:pPr>
        <w:numPr>
          <w:ilvl w:val="0"/>
          <w:numId w:val="42"/>
        </w:numPr>
        <w:ind w:hanging="720"/>
        <w:rPr>
          <w:rFonts w:cs="Arial"/>
          <w:bCs/>
          <w:noProof/>
          <w:color w:val="000000"/>
        </w:rPr>
      </w:pPr>
      <w:r>
        <w:rPr>
          <w:rFonts w:cs="Arial"/>
          <w:u w:val="single"/>
        </w:rPr>
        <w:t>Test Parameters</w:t>
      </w:r>
      <w:r>
        <w:rPr>
          <w:rFonts w:cs="Arial"/>
        </w:rPr>
        <w:t>.</w:t>
      </w:r>
      <w:r>
        <w:rPr>
          <w:rFonts w:cs="Arial"/>
          <w:bCs/>
          <w:noProof/>
          <w:color w:val="000000"/>
        </w:rPr>
        <w:t xml:space="preserve">  </w:t>
      </w:r>
    </w:p>
    <w:p w:rsidR="0079779A" w:rsidRDefault="003E5439" w14:paraId="35FBA7FF" w14:textId="77777777">
      <w:pPr>
        <w:ind w:left="1440"/>
        <w:rPr>
          <w:rFonts w:cs="Arial"/>
          <w:bCs/>
          <w:noProof/>
          <w:color w:val="000000"/>
        </w:rPr>
      </w:pPr>
      <w:r>
        <w:rPr>
          <w:rFonts w:cs="Arial"/>
          <w:bCs/>
          <w:noProof/>
          <w:color w:val="000000"/>
        </w:rPr>
        <w:t>During any Performance Test, at a minimum, the following parameters shall be measured and recorded simultaneously for the Battery Storage System at the level of granularity necessary to assess the measured criteria and at least every  four (4) seconds:</w:t>
      </w:r>
    </w:p>
    <w:p w:rsidR="0079779A" w:rsidRDefault="003E5439" w14:paraId="1268C36C" w14:textId="77777777">
      <w:pPr>
        <w:pStyle w:val="ListParagraph"/>
        <w:widowControl w:val="0"/>
        <w:numPr>
          <w:ilvl w:val="0"/>
          <w:numId w:val="41"/>
        </w:numPr>
        <w:adjustRightInd w:val="0"/>
        <w:spacing w:after="240"/>
        <w:ind w:left="2160" w:hanging="720"/>
        <w:textAlignment w:val="baseline"/>
        <w:rPr>
          <w:rFonts w:cs="Arial"/>
          <w:noProof/>
        </w:rPr>
      </w:pPr>
      <w:r>
        <w:rPr>
          <w:rFonts w:cs="Arial"/>
          <w:noProof/>
        </w:rPr>
        <w:t xml:space="preserve">Time; </w:t>
      </w:r>
    </w:p>
    <w:p w:rsidR="0079779A" w:rsidRDefault="003E5439" w14:paraId="581DBB48" w14:textId="77777777">
      <w:pPr>
        <w:pStyle w:val="ListParagraph"/>
        <w:widowControl w:val="0"/>
        <w:numPr>
          <w:ilvl w:val="0"/>
          <w:numId w:val="41"/>
        </w:numPr>
        <w:adjustRightInd w:val="0"/>
        <w:spacing w:after="240"/>
        <w:ind w:left="2160" w:hanging="720"/>
        <w:textAlignment w:val="baseline"/>
        <w:rPr>
          <w:rFonts w:cs="Arial"/>
          <w:noProof/>
        </w:rPr>
      </w:pPr>
      <w:r>
        <w:rPr>
          <w:rFonts w:cs="Arial"/>
          <w:noProof/>
        </w:rPr>
        <w:t xml:space="preserve">Net electrical energy output to the Point of Delivery (kWh); </w:t>
      </w:r>
    </w:p>
    <w:p w:rsidR="0079779A" w:rsidRDefault="003E5439" w14:paraId="07A6AA14" w14:textId="77777777">
      <w:pPr>
        <w:pStyle w:val="ListParagraph"/>
        <w:widowControl w:val="0"/>
        <w:numPr>
          <w:ilvl w:val="0"/>
          <w:numId w:val="41"/>
        </w:numPr>
        <w:adjustRightInd w:val="0"/>
        <w:spacing w:after="240"/>
        <w:ind w:left="2160" w:hanging="720"/>
        <w:textAlignment w:val="baseline"/>
        <w:rPr>
          <w:rFonts w:cs="Arial"/>
          <w:noProof/>
        </w:rPr>
      </w:pPr>
      <w:r>
        <w:rPr>
          <w:rFonts w:cs="Arial"/>
          <w:noProof/>
        </w:rPr>
        <w:t xml:space="preserve">Net electrical energy input from the Point of Delivery (kWh); </w:t>
      </w:r>
    </w:p>
    <w:p w:rsidR="0079779A" w:rsidRDefault="003E5439" w14:paraId="1FD76A7A" w14:textId="77777777">
      <w:pPr>
        <w:pStyle w:val="ListParagraph"/>
        <w:widowControl w:val="0"/>
        <w:numPr>
          <w:ilvl w:val="0"/>
          <w:numId w:val="41"/>
        </w:numPr>
        <w:adjustRightInd w:val="0"/>
        <w:spacing w:after="240"/>
        <w:ind w:left="2160" w:hanging="720"/>
        <w:textAlignment w:val="baseline"/>
        <w:rPr>
          <w:rFonts w:cs="Arial"/>
          <w:noProof/>
        </w:rPr>
      </w:pPr>
      <w:r>
        <w:rPr>
          <w:rFonts w:cs="Arial"/>
          <w:noProof/>
        </w:rPr>
        <w:t xml:space="preserve">Reactive power (VARS); </w:t>
      </w:r>
    </w:p>
    <w:p w:rsidR="0079779A" w:rsidRDefault="003E5439" w14:paraId="261CA06A" w14:textId="77777777">
      <w:pPr>
        <w:pStyle w:val="ListParagraph"/>
        <w:widowControl w:val="0"/>
        <w:numPr>
          <w:ilvl w:val="0"/>
          <w:numId w:val="41"/>
        </w:numPr>
        <w:adjustRightInd w:val="0"/>
        <w:spacing w:after="240"/>
        <w:ind w:left="2160" w:hanging="720"/>
        <w:textAlignment w:val="baseline"/>
        <w:rPr>
          <w:rFonts w:cs="Arial"/>
          <w:noProof/>
        </w:rPr>
      </w:pPr>
      <w:r>
        <w:rPr>
          <w:rFonts w:cs="Arial"/>
          <w:noProof/>
        </w:rPr>
        <w:lastRenderedPageBreak/>
        <w:t xml:space="preserve">State of Charge (%); </w:t>
      </w:r>
    </w:p>
    <w:p w:rsidR="0079779A" w:rsidRDefault="003E5439" w14:paraId="3342D109" w14:textId="77777777">
      <w:pPr>
        <w:tabs>
          <w:tab w:val="left" w:pos="0"/>
        </w:tabs>
        <w:ind w:left="1440"/>
        <w:rPr>
          <w:rFonts w:cs="Arial"/>
          <w:bCs/>
          <w:noProof/>
          <w:color w:val="000000"/>
        </w:rPr>
      </w:pPr>
      <w:r>
        <w:rPr>
          <w:rFonts w:cs="Arial"/>
          <w:bCs/>
          <w:noProof/>
          <w:color w:val="000000"/>
        </w:rPr>
        <w:t>During any Performance Test, at a minimum, the following parameters shall be measured and recorded simultaneously for the Battery Storage System at least every thirty (30) minutes:</w:t>
      </w:r>
    </w:p>
    <w:p w:rsidR="0079779A" w:rsidRDefault="003E5439" w14:paraId="255A0789" w14:textId="77777777">
      <w:pPr>
        <w:pStyle w:val="ListParagraph"/>
        <w:widowControl w:val="0"/>
        <w:numPr>
          <w:ilvl w:val="0"/>
          <w:numId w:val="44"/>
        </w:numPr>
        <w:adjustRightInd w:val="0"/>
        <w:spacing w:after="240"/>
        <w:ind w:left="2160" w:hanging="720"/>
        <w:textAlignment w:val="baseline"/>
        <w:rPr>
          <w:rFonts w:cs="Arial"/>
          <w:noProof/>
        </w:rPr>
      </w:pPr>
      <w:r>
        <w:rPr>
          <w:rFonts w:cs="Arial"/>
          <w:noProof/>
        </w:rPr>
        <w:t>Relative humidity (%);</w:t>
      </w:r>
    </w:p>
    <w:p w:rsidR="0079779A" w:rsidRDefault="003E5439" w14:paraId="09DFCE44" w14:textId="77777777">
      <w:pPr>
        <w:pStyle w:val="ListParagraph"/>
        <w:widowControl w:val="0"/>
        <w:numPr>
          <w:ilvl w:val="0"/>
          <w:numId w:val="44"/>
        </w:numPr>
        <w:adjustRightInd w:val="0"/>
        <w:spacing w:after="240"/>
        <w:ind w:left="2160" w:hanging="720"/>
        <w:textAlignment w:val="baseline"/>
        <w:rPr>
          <w:rFonts w:cs="Arial"/>
          <w:noProof/>
        </w:rPr>
      </w:pPr>
      <w:r>
        <w:rPr>
          <w:rFonts w:cs="Arial"/>
          <w:noProof/>
        </w:rPr>
        <w:t xml:space="preserve">Ambient temperature (°F); and </w:t>
      </w:r>
    </w:p>
    <w:p w:rsidR="0079779A" w:rsidRDefault="003E5439" w14:paraId="69F8C2B8" w14:textId="77777777">
      <w:pPr>
        <w:pStyle w:val="ListParagraph"/>
        <w:widowControl w:val="0"/>
        <w:numPr>
          <w:ilvl w:val="0"/>
          <w:numId w:val="44"/>
        </w:numPr>
        <w:adjustRightInd w:val="0"/>
        <w:spacing w:after="240"/>
        <w:ind w:left="2160" w:hanging="720"/>
        <w:textAlignment w:val="baseline"/>
        <w:rPr>
          <w:rFonts w:cs="Arial"/>
          <w:noProof/>
        </w:rPr>
      </w:pPr>
      <w:r>
        <w:rPr>
          <w:rFonts w:cs="Arial"/>
          <w:noProof/>
        </w:rPr>
        <w:t>Average battery temperature (°F).</w:t>
      </w:r>
    </w:p>
    <w:p w:rsidR="0079779A" w:rsidRDefault="003E5439" w14:paraId="0752F9A5" w14:textId="77777777">
      <w:pPr>
        <w:numPr>
          <w:ilvl w:val="0"/>
          <w:numId w:val="42"/>
        </w:numPr>
        <w:ind w:hanging="720"/>
        <w:rPr>
          <w:rFonts w:cs="Arial"/>
          <w:noProof/>
        </w:rPr>
      </w:pPr>
      <w:r>
        <w:rPr>
          <w:rFonts w:cs="Arial"/>
          <w:bCs/>
          <w:noProof/>
          <w:color w:val="000000"/>
          <w:u w:val="single"/>
        </w:rPr>
        <w:t>Performance Test Showing</w:t>
      </w:r>
      <w:r>
        <w:rPr>
          <w:rFonts w:cs="Arial"/>
          <w:noProof/>
          <w:color w:val="000000"/>
        </w:rPr>
        <w:t xml:space="preserve">.  </w:t>
      </w:r>
      <w:r>
        <w:rPr>
          <w:rFonts w:cs="Arial"/>
          <w:noProof/>
        </w:rPr>
        <w:t xml:space="preserve">Seller must demonstrate to Company’s reasonable satisfaction, that the Battery Storage System:  </w:t>
      </w:r>
    </w:p>
    <w:p w:rsidR="0079779A" w:rsidRDefault="003E5439" w14:paraId="153FD888" w14:textId="77777777">
      <w:pPr>
        <w:pStyle w:val="ListParagraph"/>
        <w:widowControl w:val="0"/>
        <w:numPr>
          <w:ilvl w:val="0"/>
          <w:numId w:val="45"/>
        </w:numPr>
        <w:adjustRightInd w:val="0"/>
        <w:spacing w:after="240"/>
        <w:ind w:left="2160" w:hanging="720"/>
        <w:textAlignment w:val="baseline"/>
        <w:rPr>
          <w:rFonts w:cs="Arial"/>
          <w:noProof/>
        </w:rPr>
      </w:pPr>
      <w:r>
        <w:rPr>
          <w:rFonts w:cs="Arial"/>
          <w:noProof/>
        </w:rPr>
        <w:t xml:space="preserve">is capable of storing and delivering the MW and MWh amount identified by Seller as the maximum rated power and energy; </w:t>
      </w:r>
    </w:p>
    <w:p w:rsidR="0079779A" w:rsidRDefault="003E5439" w14:paraId="4D62859D" w14:textId="77777777">
      <w:pPr>
        <w:pStyle w:val="ListParagraph"/>
        <w:widowControl w:val="0"/>
        <w:numPr>
          <w:ilvl w:val="0"/>
          <w:numId w:val="45"/>
        </w:numPr>
        <w:adjustRightInd w:val="0"/>
        <w:spacing w:after="240"/>
        <w:ind w:left="2160" w:hanging="720"/>
        <w:textAlignment w:val="baseline"/>
        <w:rPr>
          <w:rFonts w:cs="Arial"/>
          <w:noProof/>
        </w:rPr>
      </w:pPr>
      <w:r>
        <w:rPr>
          <w:rFonts w:cs="Arial"/>
          <w:noProof/>
        </w:rPr>
        <w:t xml:space="preserve">can deliver full rated power (MW) to the Point of Delivery for </w:t>
      </w:r>
      <w:r w:rsidR="00B43240">
        <w:rPr>
          <w:rFonts w:cs="Arial"/>
          <w:noProof/>
        </w:rPr>
        <w:t>[</w:t>
      </w:r>
      <w:r>
        <w:rPr>
          <w:rFonts w:cs="Arial"/>
          <w:noProof/>
        </w:rPr>
        <w:t>two (2)</w:t>
      </w:r>
      <w:r w:rsidR="00B43240">
        <w:rPr>
          <w:rFonts w:cs="Arial"/>
          <w:noProof/>
        </w:rPr>
        <w:t>] [four (4)]</w:t>
      </w:r>
      <w:r>
        <w:rPr>
          <w:rFonts w:cs="Arial"/>
          <w:noProof/>
        </w:rPr>
        <w:t xml:space="preserve"> consecutive hours, totalling to the Storage Capacity, inclusive of identified Round Trip Efficiency losses.</w:t>
      </w:r>
    </w:p>
    <w:p w:rsidR="0079779A" w:rsidRDefault="003E5439" w14:paraId="57ACB851" w14:textId="77777777">
      <w:pPr>
        <w:pStyle w:val="ListParagraph"/>
        <w:numPr>
          <w:ilvl w:val="0"/>
          <w:numId w:val="57"/>
        </w:numPr>
        <w:spacing w:after="240"/>
        <w:ind w:left="2160" w:hanging="720"/>
        <w:textAlignment w:val="baseline"/>
        <w:rPr>
          <w:rFonts w:cs="Arial"/>
          <w:noProof/>
        </w:rPr>
      </w:pPr>
      <w:r>
        <w:rPr>
          <w:rFonts w:cs="Arial"/>
          <w:noProof/>
        </w:rPr>
        <w:t xml:space="preserve">All identified </w:t>
      </w:r>
      <w:r>
        <w:rPr>
          <w:rFonts w:cs="Arial"/>
          <w:noProof/>
          <w:u w:val="single"/>
        </w:rPr>
        <w:t>Exhibit M-1</w:t>
      </w:r>
      <w:r>
        <w:rPr>
          <w:rFonts w:cs="Arial"/>
          <w:noProof/>
        </w:rPr>
        <w:t xml:space="preserve"> required performance levels are met.</w:t>
      </w:r>
    </w:p>
    <w:p w:rsidR="0079779A" w:rsidRDefault="003E5439" w14:paraId="1827E4ED" w14:textId="77777777">
      <w:pPr>
        <w:ind w:left="2160" w:hanging="720"/>
        <w:rPr>
          <w:rFonts w:cs="Arial"/>
          <w:noProof/>
        </w:rPr>
      </w:pPr>
      <w:r>
        <w:rPr>
          <w:rFonts w:cs="Arial"/>
          <w:bCs/>
          <w:noProof/>
        </w:rPr>
        <w:t xml:space="preserve">  </w:t>
      </w:r>
    </w:p>
    <w:p w:rsidR="0079779A" w:rsidRDefault="003E5439" w14:paraId="4D862858" w14:textId="77777777">
      <w:pPr>
        <w:numPr>
          <w:ilvl w:val="0"/>
          <w:numId w:val="42"/>
        </w:numPr>
        <w:ind w:hanging="720"/>
        <w:rPr>
          <w:rFonts w:cs="Arial"/>
          <w:noProof/>
        </w:rPr>
      </w:pPr>
      <w:r>
        <w:rPr>
          <w:rFonts w:cs="Arial"/>
          <w:noProof/>
          <w:u w:val="single"/>
        </w:rPr>
        <w:t>Performance Test Conditions</w:t>
      </w:r>
      <w:r>
        <w:rPr>
          <w:rFonts w:cs="Arial"/>
          <w:noProof/>
        </w:rPr>
        <w:t xml:space="preserve">.  </w:t>
      </w:r>
    </w:p>
    <w:p w:rsidR="0079779A" w:rsidRDefault="003E5439" w14:paraId="2EC6A66A" w14:textId="77777777">
      <w:pPr>
        <w:pStyle w:val="ListParagraph"/>
        <w:widowControl w:val="0"/>
        <w:numPr>
          <w:ilvl w:val="0"/>
          <w:numId w:val="43"/>
        </w:numPr>
        <w:adjustRightInd w:val="0"/>
        <w:spacing w:after="240"/>
        <w:ind w:left="2160" w:hanging="720"/>
        <w:textAlignment w:val="baseline"/>
        <w:rPr>
          <w:rFonts w:cs="Arial"/>
          <w:noProof/>
        </w:rPr>
      </w:pPr>
      <w:r>
        <w:rPr>
          <w:rFonts w:cs="Arial"/>
          <w:noProof/>
        </w:rPr>
        <w:t>At all times during a Test, the Battery Storage System, including all auxiliary equipment, shall be operated in compliance with the Test Plan, Good Utility Practices and all operating protocols and conditions recommended, required, or established by the manufacturer.</w:t>
      </w:r>
    </w:p>
    <w:p w:rsidR="0079779A" w:rsidRDefault="003E5439" w14:paraId="15EB004F" w14:textId="77777777">
      <w:pPr>
        <w:pStyle w:val="ListParagraph"/>
        <w:widowControl w:val="0"/>
        <w:numPr>
          <w:ilvl w:val="0"/>
          <w:numId w:val="43"/>
        </w:numPr>
        <w:adjustRightInd w:val="0"/>
        <w:spacing w:after="240"/>
        <w:ind w:left="2160" w:hanging="720"/>
        <w:textAlignment w:val="baseline"/>
        <w:rPr>
          <w:rFonts w:cs="Arial"/>
          <w:noProof/>
        </w:rPr>
      </w:pPr>
      <w:r>
        <w:rPr>
          <w:rFonts w:cs="Arial"/>
          <w:noProof/>
        </w:rPr>
        <w:t>Company in its sole discretion may elect to shorten the run periods or waive a particular portion of a Test at any time.  Such election or waiver during one Test does not shorten any run period or waive any portion of any subsequent Test.</w:t>
      </w:r>
    </w:p>
    <w:p w:rsidR="0079779A" w:rsidRDefault="003E5439" w14:paraId="73779B55" w14:textId="77777777">
      <w:pPr>
        <w:pStyle w:val="ListParagraph"/>
        <w:widowControl w:val="0"/>
        <w:numPr>
          <w:ilvl w:val="0"/>
          <w:numId w:val="43"/>
        </w:numPr>
        <w:adjustRightInd w:val="0"/>
        <w:spacing w:after="240"/>
        <w:ind w:left="2160" w:hanging="720"/>
        <w:textAlignment w:val="baseline"/>
        <w:rPr>
          <w:rFonts w:cs="Arial"/>
          <w:noProof/>
        </w:rPr>
      </w:pPr>
      <w:r>
        <w:rPr>
          <w:rFonts w:cs="Arial"/>
          <w:noProof/>
          <w:u w:val="single"/>
        </w:rPr>
        <w:t>[</w:t>
      </w:r>
      <w:r>
        <w:rPr>
          <w:rFonts w:cs="Arial"/>
          <w:iCs/>
          <w:noProof/>
          <w:u w:val="single"/>
        </w:rPr>
        <w:t>Reserved</w:t>
      </w:r>
      <w:r>
        <w:rPr>
          <w:rFonts w:cs="Arial"/>
          <w:noProof/>
          <w:u w:val="single"/>
        </w:rPr>
        <w:t>]</w:t>
      </w:r>
      <w:r>
        <w:rPr>
          <w:rFonts w:cs="Arial"/>
          <w:noProof/>
        </w:rPr>
        <w:t xml:space="preserve">.  </w:t>
      </w:r>
    </w:p>
    <w:p w:rsidR="0079779A" w:rsidRDefault="003E5439" w14:paraId="4E8EF467" w14:textId="77777777">
      <w:pPr>
        <w:pStyle w:val="ListParagraph"/>
        <w:widowControl w:val="0"/>
        <w:numPr>
          <w:ilvl w:val="0"/>
          <w:numId w:val="43"/>
        </w:numPr>
        <w:adjustRightInd w:val="0"/>
        <w:spacing w:after="240"/>
        <w:ind w:left="2160" w:hanging="720"/>
        <w:textAlignment w:val="baseline"/>
        <w:rPr>
          <w:rFonts w:cs="Arial"/>
          <w:noProof/>
        </w:rPr>
      </w:pPr>
      <w:r>
        <w:rPr>
          <w:rFonts w:cs="Arial"/>
          <w:noProof/>
          <w:u w:val="single"/>
        </w:rPr>
        <w:t>Abnormal Conditions</w:t>
      </w:r>
      <w:r>
        <w:rPr>
          <w:rFonts w:cs="Arial"/>
          <w:noProof/>
        </w:rPr>
        <w:t xml:space="preserve">.  If abnormal operating conditions occur during a Test, Company may postpone or reschedule all or part of such Test in its reasonable discretion in accordance with </w:t>
      </w:r>
      <w:r>
        <w:rPr>
          <w:rFonts w:cs="Arial"/>
          <w:u w:val="single"/>
        </w:rPr>
        <w:t>PART II</w:t>
      </w:r>
      <w:r>
        <w:rPr>
          <w:rFonts w:cs="Arial"/>
          <w:noProof/>
          <w:u w:val="single"/>
        </w:rPr>
        <w:t>.F.</w:t>
      </w:r>
      <w:r>
        <w:rPr>
          <w:rFonts w:cs="Arial"/>
          <w:noProof/>
        </w:rPr>
        <w:t xml:space="preserve"> or </w:t>
      </w:r>
      <w:r>
        <w:rPr>
          <w:rFonts w:cs="Arial"/>
          <w:u w:val="single"/>
        </w:rPr>
        <w:t>PART II</w:t>
      </w:r>
      <w:r>
        <w:rPr>
          <w:rFonts w:cs="Arial"/>
          <w:noProof/>
          <w:u w:val="single"/>
        </w:rPr>
        <w:t>.G.</w:t>
      </w:r>
      <w:r>
        <w:rPr>
          <w:rFonts w:cs="Arial"/>
          <w:noProof/>
        </w:rPr>
        <w:t>, below.</w:t>
      </w:r>
    </w:p>
    <w:p w:rsidR="0079779A" w:rsidRDefault="003E5439" w14:paraId="5D42FC3E" w14:textId="77777777">
      <w:pPr>
        <w:pStyle w:val="ListParagraph"/>
        <w:widowControl w:val="0"/>
        <w:numPr>
          <w:ilvl w:val="0"/>
          <w:numId w:val="43"/>
        </w:numPr>
        <w:adjustRightInd w:val="0"/>
        <w:spacing w:after="240"/>
        <w:ind w:left="2160" w:hanging="720"/>
        <w:textAlignment w:val="baseline"/>
        <w:rPr>
          <w:rFonts w:cs="Arial"/>
          <w:noProof/>
        </w:rPr>
      </w:pPr>
      <w:r>
        <w:rPr>
          <w:color w:val="000000"/>
          <w:u w:val="single"/>
        </w:rPr>
        <w:t>Applicable Laws</w:t>
      </w:r>
      <w:r>
        <w:rPr>
          <w:color w:val="000000"/>
        </w:rPr>
        <w:t>.</w:t>
      </w:r>
      <w:r>
        <w:rPr>
          <w:rFonts w:cs="Arial"/>
          <w:bCs/>
          <w:noProof/>
          <w:color w:val="000000"/>
        </w:rPr>
        <w:t xml:space="preserve">  The Battery Storage System shall be operated in compliance with all Applicable Laws, including those governing safety, noise, air, and water emissions during any Test.</w:t>
      </w:r>
    </w:p>
    <w:p w:rsidR="0079779A" w:rsidRDefault="003E5439" w14:paraId="6DD3B4C8" w14:textId="77777777">
      <w:pPr>
        <w:pStyle w:val="ListParagraph"/>
        <w:widowControl w:val="0"/>
        <w:numPr>
          <w:ilvl w:val="0"/>
          <w:numId w:val="43"/>
        </w:numPr>
        <w:adjustRightInd w:val="0"/>
        <w:spacing w:after="240"/>
        <w:ind w:left="2160" w:hanging="720"/>
        <w:textAlignment w:val="baseline"/>
        <w:rPr>
          <w:rFonts w:cs="Arial"/>
          <w:noProof/>
        </w:rPr>
      </w:pPr>
      <w:r>
        <w:rPr>
          <w:rFonts w:cs="Arial"/>
          <w:bCs/>
          <w:noProof/>
          <w:color w:val="000000"/>
          <w:u w:val="single"/>
        </w:rPr>
        <w:t>Instrumentation and Metering</w:t>
      </w:r>
      <w:r>
        <w:rPr>
          <w:rFonts w:cs="Arial"/>
          <w:bCs/>
          <w:noProof/>
          <w:color w:val="000000"/>
        </w:rPr>
        <w:t>.</w:t>
      </w:r>
      <w:r>
        <w:rPr>
          <w:rFonts w:cs="Arial"/>
          <w:b/>
          <w:bCs/>
          <w:noProof/>
          <w:color w:val="000000"/>
        </w:rPr>
        <w:t xml:space="preserve">  </w:t>
      </w:r>
      <w:r>
        <w:rPr>
          <w:rFonts w:cs="Arial"/>
          <w:bCs/>
          <w:noProof/>
          <w:color w:val="000000"/>
        </w:rPr>
        <w:t xml:space="preserve">Seller shall provide all </w:t>
      </w:r>
      <w:r>
        <w:rPr>
          <w:rFonts w:cs="Arial"/>
          <w:bCs/>
          <w:noProof/>
          <w:color w:val="000000"/>
        </w:rPr>
        <w:lastRenderedPageBreak/>
        <w:t>instrumentation, metering, and data collection equipment required to perform the Test.  Class 0.2S or Class 0.5S meters should be used to verify performance of the Battery Storage System during any Test.  Seller shall calibrate or cause to be calibrated all such instrumentation, metering, and data collection equipment no more than three (3) months prior to the date of the Test, if appropriate to the tool type.  Copies of all calibration sheets shall be provided to Company at least five (5) Business Days prior to the Test.</w:t>
      </w:r>
      <w:r>
        <w:rPr>
          <w:rFonts w:cs="Arial"/>
        </w:rPr>
        <w:t xml:space="preserve">  </w:t>
      </w:r>
    </w:p>
    <w:p w:rsidR="0079779A" w:rsidRDefault="003E5439" w14:paraId="6DCB49D3" w14:textId="77777777">
      <w:pPr>
        <w:pStyle w:val="ListParagraph"/>
        <w:spacing w:after="240"/>
        <w:ind w:left="2160"/>
        <w:rPr>
          <w:rFonts w:cs="Arial"/>
          <w:noProof/>
        </w:rPr>
      </w:pPr>
      <w:r>
        <w:rPr>
          <w:rFonts w:cs="Arial"/>
        </w:rPr>
        <w:t xml:space="preserve">Permanently installed instruments shall include but not be limited to revenue metering devices located in the switchyard where the Facility is located.  </w:t>
      </w:r>
    </w:p>
    <w:p w:rsidR="0079779A" w:rsidRDefault="003E5439" w14:paraId="2ADC1685" w14:textId="77777777">
      <w:pPr>
        <w:numPr>
          <w:ilvl w:val="0"/>
          <w:numId w:val="42"/>
        </w:numPr>
        <w:ind w:hanging="720"/>
        <w:rPr>
          <w:rFonts w:cs="Arial"/>
          <w:bCs/>
          <w:noProof/>
          <w:color w:val="000000"/>
        </w:rPr>
      </w:pPr>
      <w:r>
        <w:rPr>
          <w:rFonts w:cs="Arial"/>
          <w:bCs/>
          <w:noProof/>
          <w:color w:val="000000"/>
          <w:u w:val="single"/>
        </w:rPr>
        <w:t>Test Records</w:t>
      </w:r>
      <w:r>
        <w:rPr>
          <w:rFonts w:cs="Arial"/>
          <w:bCs/>
          <w:noProof/>
          <w:color w:val="000000"/>
        </w:rPr>
        <w:t xml:space="preserve">.  Seller shall provide all records associated with </w:t>
      </w:r>
      <w:r>
        <w:rPr>
          <w:rFonts w:cs="Arial"/>
          <w:bCs/>
          <w:noProof/>
          <w:color w:val="000000"/>
          <w:u w:val="single"/>
        </w:rPr>
        <w:t>PART II.A.</w:t>
      </w:r>
      <w:r>
        <w:rPr>
          <w:rFonts w:cs="Arial"/>
          <w:bCs/>
          <w:noProof/>
          <w:color w:val="000000"/>
        </w:rPr>
        <w:t xml:space="preserve"> through </w:t>
      </w:r>
      <w:r>
        <w:rPr>
          <w:rFonts w:cs="Arial"/>
          <w:bCs/>
          <w:noProof/>
          <w:color w:val="000000"/>
          <w:u w:val="single"/>
        </w:rPr>
        <w:t>PART II.D.</w:t>
      </w:r>
      <w:r>
        <w:rPr>
          <w:rFonts w:cs="Arial"/>
          <w:bCs/>
          <w:noProof/>
          <w:color w:val="000000"/>
        </w:rPr>
        <w:t xml:space="preserve"> with the Final Report described below in </w:t>
      </w:r>
      <w:r>
        <w:rPr>
          <w:rFonts w:cs="Arial"/>
          <w:bCs/>
          <w:noProof/>
          <w:color w:val="000000"/>
          <w:u w:val="single"/>
        </w:rPr>
        <w:t>PART II.H</w:t>
      </w:r>
      <w:r>
        <w:rPr>
          <w:rFonts w:cs="Arial"/>
          <w:bCs/>
          <w:noProof/>
          <w:color w:val="000000"/>
        </w:rPr>
        <w:t>.  The records shall include copies of the raw data taken during the Test. This information will be provided in a format reasonably acceptable to Company. Collectively, the records and data provided with the Final Report shall be “</w:t>
      </w:r>
      <w:r>
        <w:rPr>
          <w:rFonts w:cs="Arial"/>
          <w:bCs/>
          <w:noProof/>
          <w:color w:val="000000"/>
          <w:u w:val="single"/>
        </w:rPr>
        <w:t>Test Records</w:t>
      </w:r>
      <w:r>
        <w:rPr>
          <w:rFonts w:cs="Arial"/>
          <w:bCs/>
          <w:noProof/>
          <w:color w:val="000000"/>
        </w:rPr>
        <w:t>”.</w:t>
      </w:r>
    </w:p>
    <w:p w:rsidR="0079779A" w:rsidRDefault="003E5439" w14:paraId="5858B153" w14:textId="77777777">
      <w:pPr>
        <w:numPr>
          <w:ilvl w:val="0"/>
          <w:numId w:val="42"/>
        </w:numPr>
        <w:ind w:hanging="720"/>
      </w:pPr>
      <w:r>
        <w:rPr>
          <w:rFonts w:cs="Arial"/>
          <w:bCs/>
          <w:noProof/>
          <w:color w:val="000000"/>
          <w:u w:val="single"/>
        </w:rPr>
        <w:t>Incomplete Test</w:t>
      </w:r>
      <w:r>
        <w:rPr>
          <w:rFonts w:cs="Arial"/>
          <w:bCs/>
          <w:noProof/>
          <w:color w:val="000000"/>
        </w:rPr>
        <w:t xml:space="preserve">.  If any Test is not completed in accordance herewith, Company may in its sole discretion: (i) accept the Test results up to the time the Test stopped (other than in the case such Test is a </w:t>
      </w:r>
      <w:r>
        <w:rPr>
          <w:color w:val="000000"/>
        </w:rPr>
        <w:t>Commercial Operation Test</w:t>
      </w:r>
      <w:r>
        <w:rPr>
          <w:rFonts w:cs="Arial"/>
          <w:bCs/>
          <w:noProof/>
          <w:color w:val="000000"/>
        </w:rPr>
        <w:t xml:space="preserve">); (ii) require that the portion of the Test not completed, be completed within a reasonable specified time period; or (iii) require that the Test be entirely repeated.  Notwithstanding the above, if Seller is unable to complete a Test due to a Seller’s Force Majeure or the actions or inactions of Company, Seller shall be permitted to reconduct such Test as a Seller Initiated Test under </w:t>
      </w:r>
      <w:r>
        <w:rPr>
          <w:rFonts w:cs="Arial"/>
          <w:bCs/>
          <w:noProof/>
          <w:color w:val="000000"/>
          <w:u w:val="single"/>
        </w:rPr>
        <w:t>Section 5</w:t>
      </w:r>
      <w:r>
        <w:rPr>
          <w:rFonts w:cs="Arial"/>
          <w:u w:val="single"/>
        </w:rPr>
        <w:t>.6(D)</w:t>
      </w:r>
      <w:r>
        <w:rPr>
          <w:rFonts w:cs="Arial"/>
          <w:bCs/>
          <w:noProof/>
          <w:color w:val="000000"/>
        </w:rPr>
        <w:t xml:space="preserve"> on dates and at times reasonably acceptable to Company.</w:t>
      </w:r>
      <w:r>
        <w:rPr>
          <w:rFonts w:cs="Arial"/>
        </w:rPr>
        <w:t xml:space="preserve"> </w:t>
      </w:r>
    </w:p>
    <w:p w:rsidR="0079779A" w:rsidRDefault="003E5439" w14:paraId="5D97A227" w14:textId="77777777">
      <w:pPr>
        <w:numPr>
          <w:ilvl w:val="0"/>
          <w:numId w:val="42"/>
        </w:numPr>
        <w:ind w:hanging="720"/>
        <w:rPr>
          <w:rFonts w:cs="Arial"/>
          <w:bCs/>
          <w:noProof/>
          <w:color w:val="000000"/>
        </w:rPr>
      </w:pPr>
      <w:r>
        <w:rPr>
          <w:rFonts w:cs="Arial"/>
          <w:bCs/>
          <w:noProof/>
          <w:color w:val="000000"/>
          <w:u w:val="single"/>
        </w:rPr>
        <w:t>Retest</w:t>
      </w:r>
      <w:r>
        <w:rPr>
          <w:rFonts w:cs="Arial"/>
          <w:bCs/>
          <w:noProof/>
          <w:color w:val="000000"/>
        </w:rPr>
        <w:t xml:space="preserve">.  After the successful completion of a Test, Seller has the right, for any reason, to conduct a retest at Seller’s sole expense, including the cost of charging the Battery Storage System.  </w:t>
      </w:r>
    </w:p>
    <w:p w:rsidR="0079779A" w:rsidRDefault="003E5439" w14:paraId="1D34ACAE" w14:textId="77777777">
      <w:pPr>
        <w:ind w:left="1440"/>
        <w:rPr>
          <w:rFonts w:cs="Arial"/>
          <w:bCs/>
          <w:noProof/>
          <w:color w:val="000000"/>
        </w:rPr>
      </w:pPr>
      <w:r>
        <w:rPr>
          <w:rFonts w:cs="Arial"/>
          <w:bCs/>
          <w:noProof/>
          <w:color w:val="000000"/>
        </w:rPr>
        <w:t xml:space="preserve">If the Test Records provided by Seller to Company in accordance with </w:t>
      </w:r>
      <w:r>
        <w:rPr>
          <w:rFonts w:cs="Arial"/>
          <w:u w:val="single"/>
        </w:rPr>
        <w:t>PART II</w:t>
      </w:r>
      <w:r>
        <w:rPr>
          <w:rFonts w:cs="Arial"/>
          <w:bCs/>
          <w:noProof/>
          <w:color w:val="000000"/>
          <w:u w:val="single"/>
        </w:rPr>
        <w:t>.E.</w:t>
      </w:r>
      <w:r>
        <w:rPr>
          <w:rFonts w:cs="Arial"/>
          <w:bCs/>
          <w:noProof/>
          <w:color w:val="000000"/>
        </w:rPr>
        <w:t xml:space="preserve"> are not in accord with the records and notes of the Company representative who attended such Test on Company’s behalf, Company may require the Test to be repeated or conducted by Company or a testing firm of Company’s choice and attended by Seller’s representatives.  If the retest determines that the Test Records provided by Seller to Company are correct, then such retest will be deemed to be a Company Dispatched Test.  If the retest determines that the Test Records provided by Seller to Company are incorrect, then such retest will be deemed to be a Seller Initiated Test.</w:t>
      </w:r>
    </w:p>
    <w:p w:rsidR="0079779A" w:rsidRDefault="003E5439" w14:paraId="08D14204" w14:textId="77777777">
      <w:pPr>
        <w:ind w:left="1440"/>
        <w:rPr>
          <w:rFonts w:cs="Arial"/>
          <w:bCs/>
          <w:noProof/>
          <w:color w:val="000000"/>
        </w:rPr>
      </w:pPr>
      <w:r>
        <w:rPr>
          <w:rFonts w:cs="Arial"/>
          <w:bCs/>
          <w:noProof/>
          <w:color w:val="000000"/>
        </w:rPr>
        <w:t>The records from any retest shall be used to determine Battery Storage System performance as of the date of the original Test being repeated.</w:t>
      </w:r>
    </w:p>
    <w:p w:rsidR="0079779A" w:rsidRDefault="003E5439" w14:paraId="5EDE4CC6" w14:textId="77777777">
      <w:pPr>
        <w:numPr>
          <w:ilvl w:val="0"/>
          <w:numId w:val="42"/>
        </w:numPr>
        <w:ind w:hanging="720"/>
        <w:rPr>
          <w:rFonts w:cs="Arial"/>
          <w:bCs/>
          <w:noProof/>
          <w:color w:val="000000"/>
        </w:rPr>
      </w:pPr>
      <w:r>
        <w:rPr>
          <w:rFonts w:cs="Arial"/>
          <w:bCs/>
          <w:noProof/>
          <w:color w:val="000000"/>
          <w:u w:val="single"/>
        </w:rPr>
        <w:t>Final Report</w:t>
      </w:r>
      <w:r>
        <w:rPr>
          <w:rFonts w:cs="Arial"/>
          <w:bCs/>
          <w:noProof/>
          <w:color w:val="000000"/>
        </w:rPr>
        <w:t xml:space="preserve">.  Within fifteen (15) Business Days after the completion of a Test (including a retest), Seller shall prepare and submit to Company a </w:t>
      </w:r>
      <w:r>
        <w:rPr>
          <w:rFonts w:cs="Arial"/>
          <w:bCs/>
          <w:noProof/>
          <w:color w:val="000000"/>
        </w:rPr>
        <w:lastRenderedPageBreak/>
        <w:t>written report of the Test in a format reasonably acceptable to Company.  At a minimum, the report shall include:</w:t>
      </w:r>
    </w:p>
    <w:p w:rsidR="0079779A" w:rsidRDefault="003E5439" w14:paraId="1134200C" w14:textId="77777777">
      <w:pPr>
        <w:ind w:left="2160" w:hanging="720"/>
        <w:rPr>
          <w:rFonts w:cs="Arial"/>
          <w:bCs/>
          <w:noProof/>
          <w:color w:val="000000"/>
        </w:rPr>
      </w:pPr>
      <w:r>
        <w:rPr>
          <w:rFonts w:cs="Arial"/>
          <w:bCs/>
          <w:noProof/>
          <w:color w:val="000000"/>
        </w:rPr>
        <w:t>(i)</w:t>
      </w:r>
      <w:r>
        <w:rPr>
          <w:rFonts w:cs="Arial"/>
          <w:bCs/>
          <w:noProof/>
          <w:color w:val="000000"/>
        </w:rPr>
        <w:tab/>
        <w:t>a record of the personnel present during all or any part of the Test, whether serving in an operating, testing, monitoring or other such participatory role;</w:t>
      </w:r>
    </w:p>
    <w:p w:rsidR="0079779A" w:rsidRDefault="003E5439" w14:paraId="17BE3737" w14:textId="77777777">
      <w:pPr>
        <w:ind w:left="2160" w:hanging="720"/>
        <w:rPr>
          <w:rFonts w:cs="Arial"/>
          <w:bCs/>
          <w:noProof/>
          <w:color w:val="000000"/>
        </w:rPr>
      </w:pPr>
      <w:r>
        <w:rPr>
          <w:rFonts w:cs="Arial"/>
          <w:bCs/>
          <w:noProof/>
          <w:color w:val="000000"/>
        </w:rPr>
        <w:t xml:space="preserve">(ii)      </w:t>
      </w:r>
      <w:r>
        <w:rPr>
          <w:rFonts w:cs="Arial"/>
          <w:bCs/>
          <w:noProof/>
          <w:color w:val="000000"/>
        </w:rPr>
        <w:tab/>
        <w:t>a record verifying that inspections took place and the results were acceptable prior to testing initiation;</w:t>
      </w:r>
    </w:p>
    <w:p w:rsidR="0079779A" w:rsidRDefault="003E5439" w14:paraId="7758FE10" w14:textId="77777777">
      <w:pPr>
        <w:ind w:left="2160" w:hanging="720"/>
        <w:rPr>
          <w:rFonts w:cs="Arial"/>
          <w:bCs/>
          <w:noProof/>
          <w:color w:val="000000"/>
        </w:rPr>
      </w:pPr>
      <w:r>
        <w:rPr>
          <w:rFonts w:cs="Arial"/>
          <w:bCs/>
          <w:noProof/>
          <w:color w:val="000000"/>
        </w:rPr>
        <w:t xml:space="preserve">(iii)      </w:t>
      </w:r>
      <w:r>
        <w:rPr>
          <w:rFonts w:cs="Arial"/>
          <w:bCs/>
          <w:noProof/>
          <w:color w:val="000000"/>
        </w:rPr>
        <w:tab/>
        <w:t>a record of the test conditions (e.g. weather conditions) and test set up (e.g. equipment type and placement used);</w:t>
      </w:r>
    </w:p>
    <w:p w:rsidR="0079779A" w:rsidRDefault="003E5439" w14:paraId="2C1797C9" w14:textId="77777777">
      <w:pPr>
        <w:ind w:left="2160" w:hanging="720"/>
        <w:rPr>
          <w:rFonts w:cs="Arial"/>
          <w:bCs/>
          <w:noProof/>
          <w:color w:val="000000"/>
        </w:rPr>
      </w:pPr>
      <w:r>
        <w:rPr>
          <w:rFonts w:cs="Arial"/>
          <w:bCs/>
          <w:noProof/>
          <w:color w:val="000000"/>
        </w:rPr>
        <w:t>(iv)</w:t>
      </w:r>
      <w:r>
        <w:rPr>
          <w:rFonts w:cs="Arial"/>
          <w:bCs/>
          <w:noProof/>
          <w:color w:val="000000"/>
        </w:rPr>
        <w:tab/>
        <w:t>a record of any unusual or abnormal conditions or events that occurred during the Test and any actions taken in response thereto;</w:t>
      </w:r>
    </w:p>
    <w:p w:rsidR="0079779A" w:rsidRDefault="003E5439" w14:paraId="2026CA1F" w14:textId="77777777">
      <w:pPr>
        <w:ind w:left="2160" w:hanging="720"/>
        <w:rPr>
          <w:rFonts w:cs="Arial"/>
          <w:bCs/>
          <w:noProof/>
          <w:color w:val="000000"/>
        </w:rPr>
      </w:pPr>
      <w:r>
        <w:rPr>
          <w:rFonts w:cs="Arial"/>
          <w:bCs/>
          <w:noProof/>
          <w:color w:val="000000"/>
        </w:rPr>
        <w:t xml:space="preserve">(v) </w:t>
      </w:r>
      <w:r>
        <w:rPr>
          <w:rFonts w:cs="Arial"/>
          <w:bCs/>
          <w:noProof/>
          <w:color w:val="000000"/>
        </w:rPr>
        <w:tab/>
        <w:t>the Test Records;</w:t>
      </w:r>
    </w:p>
    <w:p w:rsidR="0079779A" w:rsidRDefault="003E5439" w14:paraId="0B24C169" w14:textId="77777777">
      <w:pPr>
        <w:ind w:left="2160" w:hanging="720"/>
        <w:rPr>
          <w:rFonts w:cs="Arial"/>
          <w:bCs/>
          <w:noProof/>
          <w:color w:val="000000"/>
        </w:rPr>
      </w:pPr>
      <w:r>
        <w:rPr>
          <w:rFonts w:cs="Arial"/>
          <w:bCs/>
          <w:noProof/>
          <w:color w:val="000000"/>
        </w:rPr>
        <w:t xml:space="preserve">(vi) </w:t>
      </w:r>
      <w:r>
        <w:rPr>
          <w:rFonts w:cs="Arial"/>
          <w:bCs/>
          <w:noProof/>
          <w:color w:val="000000"/>
        </w:rPr>
        <w:tab/>
        <w:t xml:space="preserve">the system performance in relation to the Performance Criteria identified in </w:t>
      </w:r>
      <w:r>
        <w:rPr>
          <w:rFonts w:cs="Arial"/>
          <w:bCs/>
          <w:noProof/>
          <w:color w:val="000000"/>
          <w:u w:val="single"/>
        </w:rPr>
        <w:t>Exhibit M-1</w:t>
      </w:r>
      <w:r>
        <w:rPr>
          <w:rFonts w:cs="Arial"/>
          <w:bCs/>
          <w:noProof/>
          <w:color w:val="000000"/>
        </w:rPr>
        <w:t>, either by direct measurement or via agreed to calculation; and</w:t>
      </w:r>
    </w:p>
    <w:p w:rsidR="0079779A" w:rsidRDefault="003E5439" w14:paraId="1C1C8AD3" w14:textId="77777777">
      <w:pPr>
        <w:ind w:left="2160" w:hanging="720"/>
        <w:rPr>
          <w:rFonts w:cs="Arial"/>
          <w:bCs/>
          <w:noProof/>
          <w:color w:val="000000"/>
        </w:rPr>
      </w:pPr>
      <w:r>
        <w:rPr>
          <w:rFonts w:cs="Arial"/>
          <w:bCs/>
          <w:noProof/>
          <w:color w:val="000000"/>
        </w:rPr>
        <w:t>(vii)</w:t>
      </w:r>
      <w:r>
        <w:rPr>
          <w:rFonts w:cs="Arial"/>
          <w:bCs/>
          <w:noProof/>
          <w:color w:val="000000"/>
        </w:rPr>
        <w:tab/>
        <w:t>Seller’s statement of either Seller’s acceptance of the Test or Seller’s rejection of the Test results and reason(s) therefore.</w:t>
      </w:r>
    </w:p>
    <w:p w:rsidR="0079779A" w:rsidRDefault="003E5439" w14:paraId="0E06848A" w14:textId="77777777">
      <w:pPr>
        <w:ind w:left="1440"/>
        <w:rPr>
          <w:rFonts w:cs="Arial"/>
          <w:bCs/>
          <w:noProof/>
          <w:color w:val="000000"/>
        </w:rPr>
      </w:pPr>
      <w:r>
        <w:rPr>
          <w:rFonts w:cs="Arial"/>
          <w:bCs/>
          <w:noProof/>
          <w:color w:val="000000"/>
        </w:rPr>
        <w:t>Within ten (10) Business Days after receipt of such report, Company shall notify Seller in writing of either Company’s acceptance of the Test results or Company’s rejection of the Test and reason(s) therefore.</w:t>
      </w:r>
    </w:p>
    <w:p w:rsidR="0079779A" w:rsidRDefault="003E5439" w14:paraId="2B176B57" w14:textId="77777777">
      <w:pPr>
        <w:ind w:left="1440"/>
        <w:rPr>
          <w:rFonts w:cs="Arial"/>
          <w:bCs/>
          <w:noProof/>
          <w:color w:val="000000"/>
          <w:u w:val="single"/>
        </w:rPr>
      </w:pPr>
      <w:r>
        <w:rPr>
          <w:rFonts w:cs="Arial"/>
          <w:bCs/>
          <w:noProof/>
          <w:color w:val="000000"/>
        </w:rPr>
        <w:t xml:space="preserve">If Company rejects the results of any Test or retest, or Seller rejects the results of the initial Commercial Operation Test, such Test shall be repeated in accordance with </w:t>
      </w:r>
      <w:r>
        <w:rPr>
          <w:rFonts w:cs="Arial"/>
          <w:u w:val="single"/>
        </w:rPr>
        <w:t>PART II</w:t>
      </w:r>
      <w:r>
        <w:rPr>
          <w:rFonts w:cs="Arial"/>
          <w:bCs/>
          <w:noProof/>
          <w:color w:val="000000"/>
          <w:u w:val="single"/>
        </w:rPr>
        <w:t>.G.</w:t>
      </w:r>
    </w:p>
    <w:p w:rsidR="0079779A" w:rsidRDefault="003E5439" w14:paraId="3C7DADD7" w14:textId="77777777">
      <w:pPr>
        <w:numPr>
          <w:ilvl w:val="0"/>
          <w:numId w:val="42"/>
        </w:numPr>
        <w:ind w:hanging="720"/>
        <w:rPr>
          <w:rFonts w:cs="Arial"/>
          <w:noProof/>
        </w:rPr>
      </w:pPr>
      <w:r>
        <w:rPr>
          <w:rFonts w:cs="Arial"/>
          <w:u w:val="single"/>
        </w:rPr>
        <w:t>Company Representative</w:t>
      </w:r>
      <w:r>
        <w:rPr>
          <w:rFonts w:cs="Arial"/>
        </w:rPr>
        <w:t xml:space="preserve">.  </w:t>
      </w:r>
      <w:r>
        <w:rPr>
          <w:rFonts w:cs="Arial"/>
          <w:noProof/>
        </w:rPr>
        <w:t>Company shall be entitled to have at least two (2) representatives from Company and one (1) independent third party witness reasonably acceptable to Seller present to witness each Test and shall be allowed reasonable access to the area from where the plant is being controlled (e.g., plant control room), and reasonable access to inspect the instrumentation necessary for Test data acquisition prior to commencement of any Test</w:t>
      </w:r>
      <w:r>
        <w:rPr>
          <w:rFonts w:cs="Arial"/>
          <w:kern w:val="18"/>
        </w:rPr>
        <w:t>, subject to providing reasonable advance notice to Seller and adhering to Seller’s safety protocols that have been communicated to Company</w:t>
      </w:r>
      <w:r>
        <w:rPr>
          <w:rFonts w:cs="Arial"/>
          <w:noProof/>
        </w:rPr>
        <w:t xml:space="preserve">.  Company shall be responsible for all costs, expenses and fees payable or reimbursable to the representative and the third party, if any. </w:t>
      </w:r>
    </w:p>
    <w:p w:rsidR="0079779A" w:rsidRDefault="003E5439" w14:paraId="3C82E4A7" w14:textId="77777777">
      <w:pPr>
        <w:rPr>
          <w:rFonts w:cs="Arial"/>
        </w:rPr>
      </w:pPr>
      <w:r>
        <w:rPr>
          <w:rFonts w:cs="Arial"/>
        </w:rPr>
        <w:t>PART III.</w:t>
      </w:r>
      <w:r>
        <w:rPr>
          <w:rFonts w:cs="Arial"/>
        </w:rPr>
        <w:tab/>
        <w:t>COMMERCIAL OPERATION TEST.</w:t>
      </w:r>
    </w:p>
    <w:p w:rsidR="0079779A" w:rsidRDefault="003E5439" w14:paraId="048AA274" w14:textId="77777777">
      <w:pPr>
        <w:numPr>
          <w:ilvl w:val="0"/>
          <w:numId w:val="46"/>
        </w:numPr>
        <w:ind w:hanging="720"/>
        <w:rPr>
          <w:rFonts w:cs="Arial"/>
          <w:u w:val="single"/>
        </w:rPr>
      </w:pPr>
      <w:r>
        <w:rPr>
          <w:rFonts w:cs="Arial"/>
          <w:u w:val="single"/>
        </w:rPr>
        <w:t>Test Plan</w:t>
      </w:r>
      <w:r>
        <w:rPr>
          <w:rFonts w:cs="Arial"/>
        </w:rPr>
        <w:t xml:space="preserve">.  The Test Plan is provided in </w:t>
      </w:r>
      <w:r>
        <w:rPr>
          <w:rFonts w:cs="Arial"/>
          <w:u w:val="single"/>
        </w:rPr>
        <w:t xml:space="preserve">PART </w:t>
      </w:r>
      <w:proofErr w:type="gramStart"/>
      <w:r>
        <w:rPr>
          <w:rFonts w:cs="Arial"/>
          <w:u w:val="single"/>
        </w:rPr>
        <w:t>V</w:t>
      </w:r>
      <w:r>
        <w:rPr>
          <w:rFonts w:cs="Arial"/>
        </w:rPr>
        <w:t xml:space="preserve">  Section</w:t>
      </w:r>
      <w:proofErr w:type="gramEnd"/>
      <w:r>
        <w:rPr>
          <w:rFonts w:cs="Arial"/>
        </w:rPr>
        <w:t xml:space="preserve"> F and G of this </w:t>
      </w:r>
      <w:r>
        <w:rPr>
          <w:rFonts w:cs="Arial"/>
          <w:u w:val="single"/>
        </w:rPr>
        <w:t>Exhibit M</w:t>
      </w:r>
      <w:r>
        <w:rPr>
          <w:rFonts w:cs="Arial"/>
        </w:rPr>
        <w:t>.</w:t>
      </w:r>
    </w:p>
    <w:p w:rsidR="0079779A" w:rsidRDefault="003E5439" w14:paraId="5586F011" w14:textId="77777777">
      <w:pPr>
        <w:numPr>
          <w:ilvl w:val="0"/>
          <w:numId w:val="46"/>
        </w:numPr>
        <w:ind w:hanging="720"/>
        <w:rPr>
          <w:rFonts w:cs="Arial"/>
        </w:rPr>
      </w:pPr>
      <w:r>
        <w:rPr>
          <w:rFonts w:cs="Arial"/>
          <w:u w:val="single"/>
        </w:rPr>
        <w:t>Test Dates</w:t>
      </w:r>
      <w:r>
        <w:rPr>
          <w:rFonts w:cs="Arial"/>
        </w:rPr>
        <w:t xml:space="preserve">.  Seller shall provide Company with at least seven (7) Business Days’ notice of Seller’s proposed dates for the Commercial Operation Test.  Company shall confirm the dates in writing prior to the first date of the Test.  </w:t>
      </w:r>
    </w:p>
    <w:p w:rsidR="0079779A" w:rsidRDefault="003E5439" w14:paraId="34B4914C" w14:textId="77777777">
      <w:pPr>
        <w:numPr>
          <w:ilvl w:val="0"/>
          <w:numId w:val="46"/>
        </w:numPr>
        <w:ind w:hanging="720"/>
        <w:rPr>
          <w:rFonts w:cs="Arial"/>
        </w:rPr>
      </w:pPr>
      <w:r>
        <w:rPr>
          <w:rFonts w:cs="Arial"/>
          <w:u w:val="single"/>
        </w:rPr>
        <w:t>Costs</w:t>
      </w:r>
      <w:r>
        <w:rPr>
          <w:rFonts w:cs="Arial"/>
        </w:rPr>
        <w:t xml:space="preserve">.  Costs for testing are as set forth in </w:t>
      </w:r>
      <w:r>
        <w:rPr>
          <w:rFonts w:cs="Arial"/>
          <w:u w:val="single"/>
        </w:rPr>
        <w:t>Section 5.6</w:t>
      </w:r>
      <w:r>
        <w:rPr>
          <w:rFonts w:cs="Arial"/>
        </w:rPr>
        <w:t>.  The Commercial Operation Test is a Company Initiated Test.</w:t>
      </w:r>
    </w:p>
    <w:p w:rsidR="0079779A" w:rsidRDefault="003E5439" w14:paraId="0E36D147" w14:textId="77777777">
      <w:pPr>
        <w:rPr>
          <w:rFonts w:cs="Arial"/>
          <w:bCs/>
          <w:noProof/>
          <w:color w:val="000000"/>
        </w:rPr>
      </w:pPr>
      <w:r>
        <w:rPr>
          <w:rFonts w:cs="Arial"/>
          <w:bCs/>
          <w:noProof/>
          <w:color w:val="000000"/>
        </w:rPr>
        <w:t xml:space="preserve">  </w:t>
      </w:r>
    </w:p>
    <w:p w:rsidR="0079779A" w:rsidRDefault="003E5439" w14:paraId="68073AE7" w14:textId="77777777">
      <w:pPr>
        <w:tabs>
          <w:tab w:val="left" w:pos="0"/>
        </w:tabs>
        <w:rPr>
          <w:rFonts w:cs="Arial"/>
        </w:rPr>
      </w:pPr>
      <w:r>
        <w:rPr>
          <w:rFonts w:cs="Arial"/>
        </w:rPr>
        <w:t>PART IV.</w:t>
      </w:r>
      <w:r>
        <w:rPr>
          <w:rFonts w:cs="Arial"/>
        </w:rPr>
        <w:tab/>
        <w:t>PERIODIC TESTS.</w:t>
      </w:r>
    </w:p>
    <w:p w:rsidR="0079779A" w:rsidRDefault="003E5439" w14:paraId="786B8CE7" w14:textId="77777777">
      <w:pPr>
        <w:tabs>
          <w:tab w:val="left" w:pos="0"/>
        </w:tabs>
        <w:ind w:left="1440" w:hanging="720"/>
        <w:rPr>
          <w:rFonts w:cs="Arial"/>
        </w:rPr>
      </w:pPr>
      <w:r>
        <w:rPr>
          <w:rFonts w:cs="Arial"/>
        </w:rPr>
        <w:lastRenderedPageBreak/>
        <w:t>A.</w:t>
      </w:r>
      <w:r>
        <w:rPr>
          <w:rFonts w:cs="Arial"/>
        </w:rPr>
        <w:tab/>
      </w:r>
      <w:r>
        <w:rPr>
          <w:rFonts w:cs="Arial"/>
          <w:u w:val="single"/>
        </w:rPr>
        <w:t>Test Plan</w:t>
      </w:r>
      <w:r>
        <w:rPr>
          <w:rFonts w:cs="Arial"/>
        </w:rPr>
        <w:t xml:space="preserve">.  The Test Plan is provided in </w:t>
      </w:r>
      <w:r>
        <w:rPr>
          <w:rFonts w:cs="Arial"/>
          <w:u w:val="single"/>
        </w:rPr>
        <w:t>PART V -</w:t>
      </w:r>
      <w:r>
        <w:rPr>
          <w:rFonts w:cs="Arial"/>
        </w:rPr>
        <w:t xml:space="preserve"> Section F of this </w:t>
      </w:r>
      <w:r>
        <w:rPr>
          <w:rFonts w:cs="Arial"/>
          <w:u w:val="single"/>
        </w:rPr>
        <w:t>Exhibit M</w:t>
      </w:r>
      <w:r>
        <w:rPr>
          <w:rFonts w:cs="Arial"/>
        </w:rPr>
        <w:t>, unless specified below or the Parties agree otherwise in writing.</w:t>
      </w:r>
    </w:p>
    <w:p w:rsidR="0079779A" w:rsidRDefault="003E5439" w14:paraId="510963B7" w14:textId="77777777">
      <w:pPr>
        <w:tabs>
          <w:tab w:val="left" w:pos="0"/>
        </w:tabs>
        <w:ind w:left="1440" w:hanging="720"/>
        <w:rPr>
          <w:rFonts w:cs="Arial"/>
        </w:rPr>
      </w:pPr>
      <w:r>
        <w:rPr>
          <w:rFonts w:cs="Arial"/>
        </w:rPr>
        <w:t>B.</w:t>
      </w:r>
      <w:r>
        <w:rPr>
          <w:rFonts w:cs="Arial"/>
        </w:rPr>
        <w:tab/>
      </w:r>
      <w:r>
        <w:rPr>
          <w:rFonts w:cs="Arial"/>
          <w:u w:val="single"/>
        </w:rPr>
        <w:t>Instrumentation and Metering</w:t>
      </w:r>
      <w:r>
        <w:rPr>
          <w:rFonts w:cs="Arial"/>
        </w:rPr>
        <w:t xml:space="preserve">.  The Parties shall use the same instrumentation and metering as was used in the Commercial Operation </w:t>
      </w:r>
      <w:proofErr w:type="gramStart"/>
      <w:r>
        <w:rPr>
          <w:rFonts w:cs="Arial"/>
        </w:rPr>
        <w:t>Test, unless</w:t>
      </w:r>
      <w:proofErr w:type="gramEnd"/>
      <w:r>
        <w:rPr>
          <w:rFonts w:cs="Arial"/>
        </w:rPr>
        <w:t xml:space="preserve"> the Parties otherwise agree in writing.  Company reserves the right, in its sole discretion and at its expense, to install its own back-up instrumentation and metering to verify the results of the periodic tests.</w:t>
      </w:r>
      <w:r>
        <w:t xml:space="preserve">  If requested in writing, Company shall provide copies of any inspection or testing reports to Seller.</w:t>
      </w:r>
    </w:p>
    <w:p w:rsidR="0079779A" w:rsidRDefault="003E5439" w14:paraId="70434F99" w14:textId="77777777">
      <w:pPr>
        <w:tabs>
          <w:tab w:val="left" w:pos="0"/>
        </w:tabs>
        <w:ind w:left="1440" w:hanging="720"/>
        <w:rPr>
          <w:rFonts w:cs="Arial"/>
        </w:rPr>
      </w:pPr>
      <w:r>
        <w:rPr>
          <w:rFonts w:cs="Arial"/>
        </w:rPr>
        <w:t xml:space="preserve"> C.</w:t>
      </w:r>
      <w:r>
        <w:rPr>
          <w:rFonts w:cs="Arial"/>
        </w:rPr>
        <w:tab/>
      </w:r>
      <w:r>
        <w:rPr>
          <w:rFonts w:cs="Arial"/>
          <w:u w:val="single"/>
        </w:rPr>
        <w:t>Test Dates</w:t>
      </w:r>
      <w:r>
        <w:rPr>
          <w:rFonts w:cs="Arial"/>
        </w:rPr>
        <w:t>.  Seller is responsible for scheduling each Periodic Test.  The date of any such Test shall be confirmed in writing by Company to Seller prior to the date of the Test.  The Parties should attempt but are not required to schedule such Test on days that Company will or is likely to dispatch the Battery Storage System.</w:t>
      </w:r>
    </w:p>
    <w:p w:rsidR="0079779A" w:rsidRDefault="003E5439" w14:paraId="6151A4E7" w14:textId="77777777">
      <w:pPr>
        <w:tabs>
          <w:tab w:val="left" w:pos="0"/>
        </w:tabs>
        <w:ind w:left="1440" w:hanging="720"/>
        <w:rPr>
          <w:rFonts w:cs="Arial"/>
        </w:rPr>
      </w:pPr>
      <w:r>
        <w:rPr>
          <w:rFonts w:cs="Arial"/>
        </w:rPr>
        <w:t>D.</w:t>
      </w:r>
      <w:r>
        <w:rPr>
          <w:rFonts w:cs="Arial"/>
        </w:rPr>
        <w:tab/>
      </w:r>
      <w:r>
        <w:rPr>
          <w:rFonts w:cs="Arial"/>
          <w:u w:val="single"/>
        </w:rPr>
        <w:t>Costs</w:t>
      </w:r>
      <w:r>
        <w:rPr>
          <w:rFonts w:cs="Arial"/>
        </w:rPr>
        <w:t xml:space="preserve">.  Costs for testing are as set forth in </w:t>
      </w:r>
      <w:r>
        <w:rPr>
          <w:rFonts w:cs="Arial"/>
          <w:u w:val="single"/>
        </w:rPr>
        <w:t>Section 5.6</w:t>
      </w:r>
      <w:r>
        <w:rPr>
          <w:rFonts w:cs="Arial"/>
        </w:rPr>
        <w:t xml:space="preserve">. </w:t>
      </w:r>
    </w:p>
    <w:p w:rsidR="0079779A" w:rsidRDefault="003E5439" w14:paraId="143029BB" w14:textId="77777777">
      <w:pPr>
        <w:tabs>
          <w:tab w:val="left" w:pos="0"/>
        </w:tabs>
        <w:rPr>
          <w:rFonts w:cs="Arial"/>
          <w:bCs/>
          <w:noProof/>
          <w:color w:val="000000"/>
        </w:rPr>
      </w:pPr>
      <w:r>
        <w:rPr>
          <w:rFonts w:cs="Arial"/>
          <w:bCs/>
          <w:noProof/>
          <w:color w:val="000000"/>
        </w:rPr>
        <w:t>PART V.</w:t>
      </w:r>
      <w:r>
        <w:rPr>
          <w:rFonts w:cs="Arial"/>
          <w:bCs/>
          <w:noProof/>
          <w:color w:val="000000"/>
        </w:rPr>
        <w:tab/>
        <w:t>TEST PLAN.</w:t>
      </w:r>
    </w:p>
    <w:p w:rsidR="0079779A" w:rsidRDefault="003E5439" w14:paraId="16BDAF6C" w14:textId="77777777">
      <w:pPr>
        <w:ind w:left="1440"/>
        <w:rPr>
          <w:rFonts w:cs="Arial"/>
          <w:bCs/>
          <w:noProof/>
          <w:color w:val="000000"/>
        </w:rPr>
      </w:pPr>
      <w:r>
        <w:rPr>
          <w:rFonts w:cs="Arial"/>
          <w:bCs/>
          <w:noProof/>
          <w:color w:val="000000"/>
        </w:rPr>
        <w:t xml:space="preserve">Any Test shall be performed according to the provisions of this </w:t>
      </w:r>
      <w:r>
        <w:rPr>
          <w:rFonts w:cs="Arial"/>
          <w:bCs/>
          <w:noProof/>
          <w:color w:val="000000"/>
          <w:u w:val="single"/>
        </w:rPr>
        <w:t>Exhibit M</w:t>
      </w:r>
      <w:r>
        <w:rPr>
          <w:rFonts w:cs="Arial"/>
          <w:bCs/>
          <w:noProof/>
          <w:color w:val="000000"/>
        </w:rPr>
        <w:t xml:space="preserve">, and the Test Plan below.  </w:t>
      </w:r>
    </w:p>
    <w:p w:rsidR="0079779A" w:rsidRDefault="003E5439" w14:paraId="05FF7677" w14:textId="77777777">
      <w:pPr>
        <w:ind w:firstLine="720"/>
        <w:jc w:val="both"/>
        <w:rPr>
          <w:rFonts w:cs="Arial"/>
          <w:b/>
          <w:bCs/>
          <w:color w:val="000000"/>
          <w:u w:val="single"/>
        </w:rPr>
      </w:pPr>
      <w:r>
        <w:rPr>
          <w:rFonts w:cs="Arial"/>
          <w:color w:val="000000"/>
        </w:rPr>
        <w:t>A.</w:t>
      </w:r>
      <w:r>
        <w:rPr>
          <w:rFonts w:cs="Arial"/>
          <w:color w:val="000000"/>
        </w:rPr>
        <w:tab/>
      </w:r>
      <w:r>
        <w:rPr>
          <w:rFonts w:cs="Arial"/>
          <w:b/>
          <w:bCs/>
          <w:color w:val="000000"/>
          <w:u w:val="single"/>
        </w:rPr>
        <w:t>GENERAL:</w:t>
      </w:r>
    </w:p>
    <w:p w:rsidR="0079779A" w:rsidRDefault="003E5439" w14:paraId="3470577F" w14:textId="77777777">
      <w:pPr>
        <w:ind w:left="2160" w:hanging="720"/>
        <w:jc w:val="both"/>
        <w:rPr>
          <w:rFonts w:cs="Arial"/>
          <w:color w:val="000000"/>
        </w:rPr>
      </w:pPr>
      <w:r>
        <w:rPr>
          <w:rFonts w:cs="Arial"/>
          <w:color w:val="000000"/>
        </w:rPr>
        <w:t>(i) </w:t>
      </w:r>
      <w:r>
        <w:rPr>
          <w:rFonts w:cs="Arial"/>
          <w:color w:val="000000"/>
        </w:rPr>
        <w:tab/>
        <w:t>This document provides the procedure for Performance Test and evaluation of the Battery Storage System for the Facility. This document shall be the template to develop the final Performance Test procedures as mutually agreed to between the Parties.  The complete final Performance Test procedure shall be submitted sixty (60) Days prior to the test.</w:t>
      </w:r>
    </w:p>
    <w:p w:rsidR="0079779A" w:rsidRDefault="003E5439" w14:paraId="54D979AE" w14:textId="77777777">
      <w:pPr>
        <w:ind w:left="2160" w:hanging="720"/>
        <w:jc w:val="both"/>
        <w:rPr>
          <w:rFonts w:cs="Arial"/>
          <w:color w:val="000000"/>
        </w:rPr>
      </w:pPr>
      <w:r>
        <w:rPr>
          <w:rFonts w:cs="Arial"/>
          <w:color w:val="000000"/>
        </w:rPr>
        <w:t xml:space="preserve">(ii) </w:t>
      </w:r>
      <w:r>
        <w:rPr>
          <w:rFonts w:cs="Arial"/>
          <w:color w:val="000000"/>
        </w:rPr>
        <w:tab/>
        <w:t>The sole purpose of the Performance Test will be the determination of Maximum Charging Rate, Maximum Discharging Rate, Minimum Discharging Time, Minimum Charging Time, Storage Capacity, and Round Trip Efficiency of the Battery Storage System for comparison to the Guaranteed Performance values provided in </w:t>
      </w:r>
      <w:r>
        <w:rPr>
          <w:rFonts w:cs="Arial"/>
          <w:color w:val="000000"/>
          <w:u w:val="single"/>
        </w:rPr>
        <w:t>Exhibit M-1</w:t>
      </w:r>
      <w:r>
        <w:rPr>
          <w:rFonts w:cs="Arial"/>
          <w:color w:val="000000"/>
        </w:rPr>
        <w:t xml:space="preserve">. Uncertainties and test tolerance of 0.5% will be applied to any guarantee. </w:t>
      </w:r>
    </w:p>
    <w:p w:rsidR="0079779A" w:rsidRDefault="003E5439" w14:paraId="361DDA2F" w14:textId="77777777">
      <w:pPr>
        <w:ind w:left="2160" w:hanging="720"/>
        <w:jc w:val="both"/>
        <w:rPr>
          <w:rFonts w:cs="Arial"/>
          <w:color w:val="000000"/>
        </w:rPr>
      </w:pPr>
      <w:r>
        <w:rPr>
          <w:rFonts w:cs="Arial"/>
          <w:color w:val="000000"/>
        </w:rPr>
        <w:t>(iii) </w:t>
      </w:r>
      <w:r>
        <w:rPr>
          <w:rFonts w:cs="Arial"/>
          <w:color w:val="000000"/>
        </w:rPr>
        <w:tab/>
        <w:t xml:space="preserve">Prior to each test, a pre-test meeting shall be held and recorded. The meeting shall review the applicable approved performance test procedure, the applicable requirements of such Performance Test, as well as all instrumentation locations, calibration sheets, and other relevant topics including safety requirements. </w:t>
      </w:r>
    </w:p>
    <w:p w:rsidR="0079779A" w:rsidRDefault="003E5439" w14:paraId="32480BFA" w14:textId="77777777">
      <w:pPr>
        <w:ind w:left="2160" w:hanging="720"/>
        <w:rPr>
          <w:rFonts w:cs="Arial"/>
          <w:color w:val="000000"/>
        </w:rPr>
      </w:pPr>
      <w:r>
        <w:rPr>
          <w:rFonts w:cs="Arial"/>
          <w:color w:val="000000"/>
        </w:rPr>
        <w:t>(iv) </w:t>
      </w:r>
      <w:r>
        <w:rPr>
          <w:rFonts w:cs="Arial"/>
          <w:color w:val="000000"/>
        </w:rPr>
        <w:tab/>
        <w:t>Data shall be recorded by the SCADA/EWIS system data logging functions. The use of alternative means for data acquisition shall be used only with prior written consent of Seller.  Company shall supply all raw data from the SCADA/EWIS system, daily during pre-test activities and during testing phase.</w:t>
      </w:r>
    </w:p>
    <w:p w:rsidR="0079779A" w:rsidRDefault="003E5439" w14:paraId="11003390" w14:textId="77777777">
      <w:pPr>
        <w:ind w:left="2160" w:hanging="720"/>
        <w:jc w:val="both"/>
        <w:rPr>
          <w:rFonts w:cs="Arial"/>
          <w:color w:val="000000"/>
        </w:rPr>
      </w:pPr>
      <w:r>
        <w:rPr>
          <w:rFonts w:cs="Arial"/>
          <w:color w:val="000000"/>
        </w:rPr>
        <w:t>(v) </w:t>
      </w:r>
      <w:r>
        <w:rPr>
          <w:rFonts w:cs="Arial"/>
          <w:color w:val="000000"/>
        </w:rPr>
        <w:tab/>
        <w:t xml:space="preserve">Prior to the start of testing the Battery Storage System, the control settings (tuning and constants) shall be verified. </w:t>
      </w:r>
    </w:p>
    <w:p w:rsidR="0079779A" w:rsidRDefault="003E5439" w14:paraId="4FC6E890" w14:textId="77777777">
      <w:pPr>
        <w:ind w:left="2160" w:hanging="720"/>
        <w:jc w:val="both"/>
        <w:rPr>
          <w:rFonts w:cs="Arial"/>
          <w:color w:val="000000"/>
        </w:rPr>
      </w:pPr>
      <w:r>
        <w:rPr>
          <w:rFonts w:cs="Arial"/>
          <w:color w:val="000000"/>
        </w:rPr>
        <w:t>(vi) </w:t>
      </w:r>
      <w:r>
        <w:rPr>
          <w:rFonts w:cs="Arial"/>
          <w:color w:val="000000"/>
        </w:rPr>
        <w:tab/>
        <w:t xml:space="preserve">Any alteration or modifications to test measurement devices, or to the Battery Storage System, which could reasonably be expected to </w:t>
      </w:r>
      <w:r>
        <w:rPr>
          <w:rFonts w:cs="Arial"/>
          <w:color w:val="000000"/>
        </w:rPr>
        <w:lastRenderedPageBreak/>
        <w:t>influence the outcome of the applicable Performance Test, shall not be permitted, without prior written consent of Company, and if accepted by Company, shall be fully documented by Seller and Company. </w:t>
      </w:r>
    </w:p>
    <w:p w:rsidR="0079779A" w:rsidRDefault="003E5439" w14:paraId="1CD4C092" w14:textId="77777777">
      <w:pPr>
        <w:spacing w:before="90" w:after="90"/>
        <w:ind w:left="855"/>
        <w:jc w:val="both"/>
        <w:rPr>
          <w:rFonts w:cs="Arial"/>
          <w:color w:val="000000"/>
        </w:rPr>
      </w:pPr>
      <w:r>
        <w:rPr>
          <w:rFonts w:cs="Arial"/>
          <w:color w:val="000000"/>
        </w:rPr>
        <w:t> </w:t>
      </w:r>
    </w:p>
    <w:p w:rsidR="0079779A" w:rsidRDefault="003E5439" w14:paraId="28EC55DE" w14:textId="77777777">
      <w:pPr>
        <w:ind w:firstLine="720"/>
        <w:jc w:val="both"/>
        <w:rPr>
          <w:rFonts w:cs="Arial"/>
          <w:color w:val="000000"/>
        </w:rPr>
      </w:pPr>
      <w:r>
        <w:rPr>
          <w:rFonts w:cs="Arial"/>
          <w:color w:val="000000"/>
        </w:rPr>
        <w:t>B.</w:t>
      </w:r>
      <w:r>
        <w:rPr>
          <w:rFonts w:cs="Arial"/>
          <w:color w:val="000000"/>
        </w:rPr>
        <w:tab/>
        <w:t>RESPONSIBILITIES:</w:t>
      </w:r>
    </w:p>
    <w:p w:rsidR="0079779A" w:rsidRDefault="003E5439" w14:paraId="0DA6DB4D" w14:textId="77777777">
      <w:pPr>
        <w:ind w:left="1440"/>
        <w:jc w:val="both"/>
        <w:rPr>
          <w:rFonts w:cs="Arial"/>
          <w:color w:val="000000"/>
        </w:rPr>
      </w:pPr>
      <w:r>
        <w:rPr>
          <w:rFonts w:cs="Arial"/>
          <w:color w:val="000000"/>
        </w:rPr>
        <w:t>(i)</w:t>
      </w:r>
      <w:r>
        <w:rPr>
          <w:rFonts w:cs="Arial"/>
          <w:color w:val="000000"/>
        </w:rPr>
        <w:tab/>
        <w:t>Specific responsibilities for this Performance Test program are as follows:</w:t>
      </w:r>
    </w:p>
    <w:p w:rsidR="0079779A" w:rsidRDefault="003E5439" w14:paraId="5537CE8C" w14:textId="77777777">
      <w:pPr>
        <w:ind w:left="1440" w:firstLine="720"/>
        <w:jc w:val="both"/>
        <w:rPr>
          <w:rFonts w:cs="Arial"/>
          <w:color w:val="000000"/>
        </w:rPr>
      </w:pPr>
      <w:r>
        <w:rPr>
          <w:rFonts w:cs="Arial"/>
          <w:color w:val="000000"/>
        </w:rPr>
        <w:t>a. </w:t>
      </w:r>
      <w:r>
        <w:rPr>
          <w:rFonts w:cs="Arial"/>
          <w:color w:val="000000"/>
        </w:rPr>
        <w:tab/>
        <w:t>Seller:</w:t>
      </w:r>
    </w:p>
    <w:p w:rsidR="0079779A" w:rsidRDefault="003E5439" w14:paraId="58FBA5D4" w14:textId="77777777">
      <w:pPr>
        <w:ind w:left="2160" w:firstLine="720"/>
        <w:rPr>
          <w:rFonts w:cs="Arial"/>
          <w:color w:val="000000"/>
        </w:rPr>
      </w:pPr>
      <w:r>
        <w:rPr>
          <w:rFonts w:cs="Arial"/>
          <w:color w:val="000000"/>
        </w:rPr>
        <w:t>i.</w:t>
      </w:r>
      <w:r>
        <w:rPr>
          <w:rFonts w:cs="Arial"/>
          <w:color w:val="000000"/>
        </w:rPr>
        <w:tab/>
        <w:t>Perform commissioning.</w:t>
      </w:r>
    </w:p>
    <w:p w:rsidR="0079779A" w:rsidRDefault="003E5439" w14:paraId="49158F1B" w14:textId="77777777">
      <w:pPr>
        <w:tabs>
          <w:tab w:val="left" w:pos="3600"/>
        </w:tabs>
        <w:ind w:left="3600" w:hanging="720"/>
        <w:rPr>
          <w:rFonts w:cs="Arial"/>
          <w:color w:val="000000"/>
        </w:rPr>
      </w:pPr>
      <w:r>
        <w:rPr>
          <w:rFonts w:cs="Arial"/>
          <w:color w:val="000000"/>
        </w:rPr>
        <w:t>ii.</w:t>
      </w:r>
      <w:r>
        <w:rPr>
          <w:rFonts w:cs="Arial"/>
          <w:color w:val="000000"/>
        </w:rPr>
        <w:tab/>
        <w:t>Manage the application of proper commissioning procedures until the Performance Tests have been completed.</w:t>
      </w:r>
    </w:p>
    <w:p w:rsidR="0079779A" w:rsidRDefault="003E5439" w14:paraId="5B1FD786" w14:textId="77777777">
      <w:pPr>
        <w:tabs>
          <w:tab w:val="left" w:pos="3600"/>
        </w:tabs>
        <w:ind w:left="3600" w:hanging="720"/>
        <w:rPr>
          <w:rFonts w:cs="Arial"/>
          <w:color w:val="000000"/>
        </w:rPr>
      </w:pPr>
      <w:r>
        <w:rPr>
          <w:rFonts w:cs="Arial"/>
          <w:color w:val="000000"/>
        </w:rPr>
        <w:t>iii.</w:t>
      </w:r>
      <w:r>
        <w:rPr>
          <w:rFonts w:cs="Arial"/>
          <w:color w:val="000000"/>
        </w:rPr>
        <w:tab/>
        <w:t>Support Company with testing and interface with the Utility/ISO as required to schedule and perform testing.</w:t>
      </w:r>
    </w:p>
    <w:p w:rsidR="0079779A" w:rsidRDefault="003E5439" w14:paraId="6F9C0BEA" w14:textId="77777777">
      <w:pPr>
        <w:ind w:left="1440" w:firstLine="720"/>
        <w:jc w:val="both"/>
        <w:rPr>
          <w:rFonts w:cs="Arial"/>
          <w:color w:val="000000"/>
        </w:rPr>
      </w:pPr>
      <w:r>
        <w:rPr>
          <w:rFonts w:cs="Arial"/>
          <w:color w:val="000000"/>
        </w:rPr>
        <w:t>b. </w:t>
      </w:r>
      <w:r>
        <w:rPr>
          <w:rFonts w:cs="Arial"/>
          <w:color w:val="000000"/>
        </w:rPr>
        <w:tab/>
        <w:t>Company:</w:t>
      </w:r>
    </w:p>
    <w:p w:rsidR="0079779A" w:rsidRDefault="003E5439" w14:paraId="508200D9" w14:textId="77777777">
      <w:pPr>
        <w:tabs>
          <w:tab w:val="left" w:pos="3600"/>
        </w:tabs>
        <w:ind w:left="3600" w:hanging="720"/>
        <w:jc w:val="both"/>
        <w:rPr>
          <w:rFonts w:cs="Arial"/>
          <w:color w:val="000000"/>
        </w:rPr>
      </w:pPr>
      <w:r>
        <w:rPr>
          <w:rFonts w:cs="Arial"/>
          <w:color w:val="000000"/>
        </w:rPr>
        <w:t>i. </w:t>
      </w:r>
      <w:r>
        <w:rPr>
          <w:rFonts w:cs="Arial"/>
          <w:color w:val="000000"/>
        </w:rPr>
        <w:tab/>
        <w:t>Support Seller with testing and interface with the Utility/ISO as required to schedule and perform testing.</w:t>
      </w:r>
    </w:p>
    <w:p w:rsidR="0079779A" w:rsidRDefault="003E5439" w14:paraId="266773F4" w14:textId="77777777">
      <w:pPr>
        <w:tabs>
          <w:tab w:val="left" w:pos="3600"/>
        </w:tabs>
        <w:ind w:left="3600" w:hanging="720"/>
        <w:jc w:val="both"/>
        <w:rPr>
          <w:rFonts w:cs="Arial"/>
          <w:color w:val="000000"/>
        </w:rPr>
      </w:pPr>
      <w:r>
        <w:rPr>
          <w:rFonts w:cs="Arial"/>
          <w:color w:val="000000"/>
        </w:rPr>
        <w:t>ii. </w:t>
      </w:r>
      <w:r>
        <w:rPr>
          <w:rFonts w:cs="Arial"/>
          <w:color w:val="000000"/>
        </w:rPr>
        <w:tab/>
        <w:t>Witness energy testing and/or review test documentation.</w:t>
      </w:r>
    </w:p>
    <w:p w:rsidR="0079779A" w:rsidRDefault="003E5439" w14:paraId="69D8196D" w14:textId="77777777">
      <w:pPr>
        <w:tabs>
          <w:tab w:val="left" w:pos="3600"/>
        </w:tabs>
        <w:ind w:left="3600" w:hanging="720"/>
        <w:jc w:val="both"/>
        <w:rPr>
          <w:rFonts w:cs="Arial"/>
          <w:color w:val="000000"/>
        </w:rPr>
      </w:pPr>
      <w:r>
        <w:rPr>
          <w:rFonts w:cs="Arial"/>
          <w:color w:val="000000"/>
        </w:rPr>
        <w:t>iii. </w:t>
      </w:r>
      <w:r>
        <w:rPr>
          <w:rFonts w:cs="Arial"/>
          <w:color w:val="000000"/>
        </w:rPr>
        <w:tab/>
        <w:t>Provide energy for the Performance Test program.</w:t>
      </w:r>
    </w:p>
    <w:p w:rsidR="0079779A" w:rsidRDefault="003E5439" w14:paraId="225456DF" w14:textId="77777777">
      <w:pPr>
        <w:ind w:firstLine="720"/>
        <w:jc w:val="both"/>
        <w:rPr>
          <w:rFonts w:cs="Arial"/>
          <w:color w:val="000000"/>
        </w:rPr>
      </w:pPr>
      <w:r>
        <w:rPr>
          <w:rFonts w:cs="Arial"/>
          <w:color w:val="000000"/>
        </w:rPr>
        <w:t>C. </w:t>
      </w:r>
      <w:r>
        <w:rPr>
          <w:rFonts w:cs="Arial"/>
          <w:color w:val="000000"/>
        </w:rPr>
        <w:tab/>
        <w:t>EQUIPMENT DEFINITION:</w:t>
      </w:r>
    </w:p>
    <w:p w:rsidR="0079779A" w:rsidRDefault="003E5439" w14:paraId="18956E8C" w14:textId="77777777">
      <w:pPr>
        <w:spacing w:before="90" w:after="90"/>
        <w:ind w:left="1440"/>
        <w:jc w:val="both"/>
        <w:rPr>
          <w:rFonts w:cs="Arial"/>
          <w:color w:val="000000"/>
        </w:rPr>
      </w:pPr>
      <w:r>
        <w:rPr>
          <w:rFonts w:cs="Arial"/>
          <w:color w:val="000000"/>
        </w:rPr>
        <w:t>The test configuration will consist of the Battery Storage System and its associated equipment.</w:t>
      </w:r>
    </w:p>
    <w:p w:rsidR="0079779A" w:rsidRDefault="003E5439" w14:paraId="37BEB9EA" w14:textId="77777777">
      <w:pPr>
        <w:ind w:firstLine="720"/>
        <w:jc w:val="both"/>
        <w:rPr>
          <w:rFonts w:cs="Arial"/>
          <w:color w:val="000000"/>
        </w:rPr>
      </w:pPr>
      <w:r>
        <w:rPr>
          <w:rFonts w:cs="Arial"/>
          <w:color w:val="000000"/>
        </w:rPr>
        <w:t>D.</w:t>
      </w:r>
      <w:r>
        <w:rPr>
          <w:rFonts w:cs="Arial"/>
          <w:color w:val="000000"/>
        </w:rPr>
        <w:tab/>
        <w:t>MEASUREMENTS &amp; INSTRUMENTATION:</w:t>
      </w:r>
    </w:p>
    <w:p w:rsidR="0079779A" w:rsidRDefault="003E5439" w14:paraId="2AEF23AB" w14:textId="77777777">
      <w:pPr>
        <w:ind w:left="2160" w:hanging="720"/>
        <w:jc w:val="both"/>
        <w:rPr>
          <w:rFonts w:cs="Arial"/>
          <w:color w:val="000000"/>
        </w:rPr>
      </w:pPr>
      <w:r>
        <w:rPr>
          <w:rFonts w:cs="Arial"/>
          <w:color w:val="000000"/>
        </w:rPr>
        <w:t>(i) </w:t>
      </w:r>
      <w:r>
        <w:rPr>
          <w:rFonts w:cs="Arial"/>
          <w:color w:val="000000"/>
        </w:rPr>
        <w:tab/>
        <w:t>Instrumentation for the Performance Test will consist of Battery Storage System instruments. Calibration certificates will be provided with the instruments.</w:t>
      </w:r>
    </w:p>
    <w:p w:rsidR="0079779A" w:rsidRDefault="003E5439" w14:paraId="333832E9" w14:textId="77777777">
      <w:pPr>
        <w:ind w:left="2160" w:hanging="720"/>
        <w:rPr>
          <w:rFonts w:cs="Arial"/>
          <w:color w:val="000000"/>
        </w:rPr>
      </w:pPr>
      <w:r>
        <w:rPr>
          <w:rFonts w:cs="Arial"/>
          <w:color w:val="000000"/>
        </w:rPr>
        <w:t>(ii) </w:t>
      </w:r>
      <w:r>
        <w:rPr>
          <w:rFonts w:cs="Arial"/>
          <w:color w:val="000000"/>
        </w:rPr>
        <w:tab/>
        <w:t>The State of Charge during all tests shall be read from the Battery Management System.</w:t>
      </w:r>
    </w:p>
    <w:p w:rsidR="0079779A" w:rsidRDefault="003E5439" w14:paraId="0E05DBAE" w14:textId="77777777">
      <w:pPr>
        <w:ind w:left="2160" w:hanging="720"/>
        <w:jc w:val="both"/>
        <w:rPr>
          <w:rFonts w:cs="Arial"/>
          <w:color w:val="000000"/>
        </w:rPr>
      </w:pPr>
      <w:r>
        <w:rPr>
          <w:rFonts w:cs="Arial"/>
          <w:color w:val="000000"/>
        </w:rPr>
        <w:t>(iii) </w:t>
      </w:r>
      <w:r>
        <w:rPr>
          <w:rFonts w:cs="Arial"/>
          <w:color w:val="000000"/>
        </w:rPr>
        <w:tab/>
        <w:t>The charge rate and discharge rates shall be measured using the Electric Metering Devices.</w:t>
      </w:r>
    </w:p>
    <w:p w:rsidR="0079779A" w:rsidRDefault="003E5439" w14:paraId="11C95D2F" w14:textId="77777777">
      <w:pPr>
        <w:ind w:left="2160" w:hanging="720"/>
        <w:jc w:val="both"/>
        <w:rPr>
          <w:rFonts w:cs="Arial"/>
          <w:color w:val="000000"/>
        </w:rPr>
      </w:pPr>
      <w:r>
        <w:rPr>
          <w:rFonts w:cs="Arial"/>
          <w:color w:val="000000"/>
        </w:rPr>
        <w:t>(iv)</w:t>
      </w:r>
      <w:r>
        <w:rPr>
          <w:rFonts w:cs="Arial"/>
          <w:color w:val="000000"/>
        </w:rPr>
        <w:tab/>
        <w:t xml:space="preserve">For purposes of testing the Round Trip Efficiency and notwithstanding the last sentence of the definition of Electric Metering Devices, the Charging Energy and Discharging Energy shall be measured by the Electric Metering Devices without normalizing for electrical losses between the Electric Metering Devices and the Point of Delivery.  </w:t>
      </w:r>
    </w:p>
    <w:p w:rsidR="0079779A" w:rsidRDefault="003E5439" w14:paraId="750885AD" w14:textId="77777777">
      <w:pPr>
        <w:ind w:firstLine="720"/>
        <w:jc w:val="both"/>
        <w:rPr>
          <w:rFonts w:cs="Arial"/>
          <w:color w:val="000000"/>
        </w:rPr>
      </w:pPr>
      <w:r>
        <w:rPr>
          <w:rFonts w:cs="Arial"/>
          <w:color w:val="000000"/>
        </w:rPr>
        <w:t>E. </w:t>
      </w:r>
      <w:r>
        <w:rPr>
          <w:rFonts w:cs="Arial"/>
          <w:color w:val="000000"/>
        </w:rPr>
        <w:tab/>
        <w:t>DATA COLLECTION:</w:t>
      </w:r>
    </w:p>
    <w:p w:rsidR="0079779A" w:rsidRDefault="003E5439" w14:paraId="62FD2120" w14:textId="77777777">
      <w:pPr>
        <w:ind w:left="2160" w:hanging="720"/>
        <w:rPr>
          <w:rFonts w:cs="Arial"/>
          <w:color w:val="000000"/>
        </w:rPr>
      </w:pPr>
      <w:r>
        <w:rPr>
          <w:rFonts w:cs="Arial"/>
          <w:color w:val="000000"/>
        </w:rPr>
        <w:t>(i) </w:t>
      </w:r>
      <w:r>
        <w:rPr>
          <w:rFonts w:cs="Arial"/>
          <w:color w:val="000000"/>
        </w:rPr>
        <w:tab/>
        <w:t xml:space="preserve">All measurements of charge rate, discharge rate, input current and voltage, output current and voltage, thermal output, system temperatures, ambient conditions, and other parameters that must be measured shall be collected simultaneously at a temporal resolution applicable to the function of the system application and </w:t>
      </w:r>
      <w:r>
        <w:rPr>
          <w:rFonts w:cs="Arial"/>
          <w:color w:val="000000"/>
        </w:rPr>
        <w:lastRenderedPageBreak/>
        <w:t>system metrics to which they are being applied and in accordance with recognized standards applicable to the measurements being taken. </w:t>
      </w:r>
    </w:p>
    <w:p w:rsidR="0079779A" w:rsidRDefault="003E5439" w14:paraId="23ECBC64" w14:textId="77777777">
      <w:pPr>
        <w:ind w:left="1440"/>
        <w:rPr>
          <w:rFonts w:cs="Arial"/>
          <w:color w:val="000000"/>
        </w:rPr>
      </w:pPr>
      <w:r>
        <w:rPr>
          <w:rFonts w:cs="Arial"/>
          <w:color w:val="000000"/>
        </w:rPr>
        <w:t>(ii) </w:t>
      </w:r>
      <w:r>
        <w:rPr>
          <w:rFonts w:cs="Arial"/>
          <w:color w:val="000000"/>
        </w:rPr>
        <w:tab/>
        <w:t>Data scan rate shall be 4 seconds or faster for all tests.</w:t>
      </w:r>
    </w:p>
    <w:p w:rsidR="0079779A" w:rsidRDefault="003E5439" w14:paraId="4C041428" w14:textId="77777777">
      <w:pPr>
        <w:ind w:left="2160" w:hanging="720"/>
        <w:rPr>
          <w:rFonts w:cs="Arial"/>
          <w:color w:val="000000"/>
        </w:rPr>
      </w:pPr>
      <w:r>
        <w:rPr>
          <w:rFonts w:cs="Arial"/>
          <w:color w:val="000000"/>
        </w:rPr>
        <w:t>(iii)</w:t>
      </w:r>
      <w:r>
        <w:rPr>
          <w:rFonts w:cs="Arial"/>
          <w:color w:val="000000"/>
        </w:rPr>
        <w:tab/>
      </w:r>
      <w:r>
        <w:rPr>
          <w:rFonts w:cs="Arial"/>
          <w:color w:val="000000"/>
          <w:u w:val="single"/>
        </w:rPr>
        <w:t>CANCELLATION OR CESSATION OF TESTING UNDER CERTAIN CIRCUMSTANCES</w:t>
      </w:r>
    </w:p>
    <w:p w:rsidR="0079779A" w:rsidRDefault="003E5439" w14:paraId="5386157A" w14:textId="77777777">
      <w:pPr>
        <w:ind w:left="2880" w:hanging="720"/>
        <w:rPr>
          <w:rFonts w:cs="Arial"/>
          <w:color w:val="000000"/>
        </w:rPr>
      </w:pPr>
      <w:r>
        <w:rPr>
          <w:rFonts w:cs="Arial"/>
          <w:color w:val="000000"/>
        </w:rPr>
        <w:t>a. </w:t>
      </w:r>
      <w:r>
        <w:rPr>
          <w:rFonts w:cs="Arial"/>
          <w:color w:val="000000"/>
        </w:rPr>
        <w:tab/>
        <w:t>In connection with any of the acceptance and other testing pursuant to this Agreement, including the Performance Tests, Seller shall each have the unilateral right to cease such tests if Seller determines that a matter or event is occurring that may damage or adversely affect the equipment or system. Seller shall promptly remedy such condition and shall thereafter promptly reschedule the testing.</w:t>
      </w:r>
    </w:p>
    <w:p w:rsidR="0079779A" w:rsidRDefault="003E5439" w14:paraId="59F2C615" w14:textId="77777777">
      <w:pPr>
        <w:spacing w:before="90" w:after="90" w:line="324" w:lineRule="atLeast"/>
        <w:ind w:left="810" w:hanging="540"/>
        <w:jc w:val="both"/>
        <w:rPr>
          <w:rFonts w:cs="Arial"/>
          <w:color w:val="000000"/>
        </w:rPr>
      </w:pPr>
      <w:r>
        <w:rPr>
          <w:rFonts w:cs="Arial"/>
          <w:color w:val="000000"/>
        </w:rPr>
        <w:t> </w:t>
      </w:r>
    </w:p>
    <w:p w:rsidR="0079779A" w:rsidRDefault="003E5439" w14:paraId="51A5E886" w14:textId="77777777">
      <w:pPr>
        <w:ind w:left="1440" w:hanging="720"/>
        <w:jc w:val="both"/>
        <w:rPr>
          <w:rFonts w:cs="Arial"/>
          <w:b/>
          <w:bCs/>
          <w:color w:val="000000"/>
          <w:u w:val="single"/>
        </w:rPr>
      </w:pPr>
      <w:r>
        <w:rPr>
          <w:rFonts w:cs="Arial"/>
          <w:color w:val="000000"/>
        </w:rPr>
        <w:t>F. </w:t>
      </w:r>
      <w:r>
        <w:rPr>
          <w:rFonts w:cs="Arial"/>
          <w:color w:val="000000"/>
        </w:rPr>
        <w:tab/>
        <w:t>Test to measure Maximum Charging Rate, Maximum Discharging Rate, Minimum Discharging Time, Minimum Charging Time, Storage Capacity, and Round Trip Efficiency</w:t>
      </w:r>
      <w:r>
        <w:rPr>
          <w:rFonts w:cs="Arial"/>
          <w:b/>
          <w:bCs/>
          <w:color w:val="000000"/>
        </w:rPr>
        <w:t>:</w:t>
      </w:r>
    </w:p>
    <w:p w:rsidR="0079779A" w:rsidRDefault="003E5439" w14:paraId="64D62ECD" w14:textId="77777777">
      <w:pPr>
        <w:ind w:left="2160" w:hanging="720"/>
        <w:jc w:val="both"/>
        <w:rPr>
          <w:rFonts w:cs="Arial"/>
          <w:color w:val="000000"/>
        </w:rPr>
      </w:pPr>
      <w:r>
        <w:rPr>
          <w:rFonts w:cs="Arial"/>
          <w:color w:val="000000"/>
        </w:rPr>
        <w:t>(i) </w:t>
      </w:r>
      <w:r>
        <w:rPr>
          <w:rFonts w:cs="Arial"/>
          <w:color w:val="000000"/>
        </w:rPr>
        <w:tab/>
        <w:t>A capacity test shall be performed to determine Maximum Charging Rate, Maximum Discharging Rate, Minimum Discharging Time, Minimum Charging Time, Storage Capacity, and Round Trip Efficiency of the Battery Storage System.</w:t>
      </w:r>
    </w:p>
    <w:p w:rsidR="0079779A" w:rsidRDefault="003E5439" w14:paraId="07CE4B50" w14:textId="77777777">
      <w:pPr>
        <w:ind w:left="2160" w:hanging="720"/>
        <w:jc w:val="both"/>
        <w:rPr>
          <w:rFonts w:cs="Arial"/>
          <w:color w:val="000000"/>
        </w:rPr>
      </w:pPr>
      <w:r>
        <w:rPr>
          <w:rFonts w:cs="Arial"/>
          <w:color w:val="000000"/>
        </w:rPr>
        <w:t>(ii) </w:t>
      </w:r>
      <w:r>
        <w:rPr>
          <w:rFonts w:cs="Arial"/>
          <w:color w:val="000000"/>
        </w:rPr>
        <w:tab/>
        <w:t>The Battery Storage System shall be discharged to 5% SOC and held for a period of 30 minutes.</w:t>
      </w:r>
    </w:p>
    <w:p w:rsidR="0079779A" w:rsidRDefault="003E5439" w14:paraId="102BF191" w14:textId="77777777">
      <w:pPr>
        <w:ind w:left="2160" w:hanging="720"/>
        <w:jc w:val="both"/>
        <w:rPr>
          <w:rFonts w:cs="Arial"/>
          <w:color w:val="000000"/>
        </w:rPr>
      </w:pPr>
      <w:r>
        <w:rPr>
          <w:rFonts w:cs="Arial"/>
          <w:color w:val="000000"/>
        </w:rPr>
        <w:t>(iii) </w:t>
      </w:r>
      <w:r>
        <w:rPr>
          <w:rFonts w:cs="Arial"/>
          <w:color w:val="000000"/>
        </w:rPr>
        <w:tab/>
        <w:t>The Battery Storage System shall be discharged to 0% SOC level or to the minimum SOC as quickly as practical.</w:t>
      </w:r>
    </w:p>
    <w:p w:rsidR="0079779A" w:rsidRDefault="003E5439" w14:paraId="00DEEF51" w14:textId="77777777">
      <w:pPr>
        <w:ind w:left="2160" w:hanging="720"/>
        <w:jc w:val="both"/>
        <w:rPr>
          <w:rFonts w:cs="Arial"/>
          <w:color w:val="000000"/>
        </w:rPr>
      </w:pPr>
      <w:r>
        <w:rPr>
          <w:rFonts w:cs="Arial"/>
          <w:color w:val="000000"/>
        </w:rPr>
        <w:t>(iv) </w:t>
      </w:r>
      <w:r>
        <w:rPr>
          <w:rFonts w:cs="Arial"/>
          <w:color w:val="000000"/>
        </w:rPr>
        <w:tab/>
        <w:t>The system shall be left at rest in an active standby state for 120 minutes or time adjusted by Seller based on battery technology.</w:t>
      </w:r>
    </w:p>
    <w:p w:rsidR="0079779A" w:rsidRDefault="003E5439" w14:paraId="038FAD47" w14:textId="77777777">
      <w:pPr>
        <w:ind w:left="2160" w:hanging="720"/>
        <w:jc w:val="both"/>
        <w:rPr>
          <w:rFonts w:cs="Arial"/>
          <w:color w:val="000000"/>
        </w:rPr>
      </w:pPr>
      <w:r>
        <w:rPr>
          <w:rFonts w:cs="Arial"/>
          <w:color w:val="000000"/>
        </w:rPr>
        <w:t>(v) </w:t>
      </w:r>
      <w:r>
        <w:rPr>
          <w:rFonts w:cs="Arial"/>
          <w:color w:val="000000"/>
        </w:rPr>
        <w:tab/>
        <w:t>The Battery Storage System shall be charged as close to the Guaranteed Maximum Charging Rate specified in </w:t>
      </w:r>
      <w:r>
        <w:rPr>
          <w:rFonts w:cs="Arial"/>
          <w:color w:val="000000"/>
          <w:u w:val="single"/>
        </w:rPr>
        <w:t>Exhibit M-1</w:t>
      </w:r>
      <w:r>
        <w:rPr>
          <w:rFonts w:cs="Arial"/>
          <w:color w:val="000000"/>
        </w:rPr>
        <w:t> as possible (“Maximum Charging Rate”) until the BMS causes the allowable charging rate to be derated to prevent overvoltage. The maximum AC power during this charge cycle shall be recorded and used for satisfaction of the Guaranteed Maximum Charging Rate.  The AC energy input </w:t>
      </w:r>
      <w:proofErr w:type="spellStart"/>
      <w:r>
        <w:rPr>
          <w:rFonts w:cs="Arial"/>
          <w:b/>
          <w:bCs/>
          <w:color w:val="000000"/>
        </w:rPr>
        <w:t>WhIi</w:t>
      </w:r>
      <w:proofErr w:type="spellEnd"/>
      <w:r>
        <w:rPr>
          <w:rFonts w:cs="Arial"/>
          <w:color w:val="000000"/>
        </w:rPr>
        <w:t xml:space="preserve">, into the system during system charging and the time until the system begins to limit charging below </w:t>
      </w:r>
      <w:proofErr w:type="gramStart"/>
      <w:r>
        <w:rPr>
          <w:rFonts w:cs="Arial"/>
          <w:color w:val="000000"/>
        </w:rPr>
        <w:t>the  Maximum</w:t>
      </w:r>
      <w:proofErr w:type="gramEnd"/>
      <w:r>
        <w:rPr>
          <w:rFonts w:cs="Arial"/>
          <w:color w:val="000000"/>
        </w:rPr>
        <w:t xml:space="preserve"> Charging Rate shall be measured and recorded.</w:t>
      </w:r>
    </w:p>
    <w:p w:rsidR="0079779A" w:rsidRDefault="003E5439" w14:paraId="39F72EC6" w14:textId="77777777">
      <w:pPr>
        <w:ind w:left="2160" w:hanging="720"/>
        <w:jc w:val="both"/>
        <w:rPr>
          <w:rFonts w:cs="Arial"/>
          <w:color w:val="000000"/>
        </w:rPr>
      </w:pPr>
      <w:r>
        <w:rPr>
          <w:rFonts w:cs="Arial"/>
          <w:color w:val="000000"/>
        </w:rPr>
        <w:t>(vi)</w:t>
      </w:r>
      <w:r>
        <w:rPr>
          <w:rFonts w:cs="Arial"/>
          <w:color w:val="000000"/>
        </w:rPr>
        <w:tab/>
        <w:t>The Battery Storage System shall be charged to 100% SOC as close to the Maximum Charging Rate as possible subject to the limitation of the BMS. The total AC energy input </w:t>
      </w:r>
      <w:proofErr w:type="spellStart"/>
      <w:r>
        <w:rPr>
          <w:rFonts w:cs="Arial"/>
          <w:b/>
          <w:bCs/>
          <w:color w:val="000000"/>
        </w:rPr>
        <w:t>WhI</w:t>
      </w:r>
      <w:proofErr w:type="spellEnd"/>
      <w:r>
        <w:rPr>
          <w:rFonts w:cs="Arial"/>
          <w:b/>
          <w:bCs/>
          <w:color w:val="000000"/>
        </w:rPr>
        <w:t> </w:t>
      </w:r>
      <w:r>
        <w:rPr>
          <w:rFonts w:cs="Arial"/>
          <w:color w:val="000000"/>
        </w:rPr>
        <w:t xml:space="preserve">(includes the energy at both the Maximum Charging Rate and derated charge rates), into the system during system charging, shall be measured and recorded. The total charging time period until Battery Storage System has charged or taken the Storage Capacity (including the </w:t>
      </w:r>
      <w:r>
        <w:rPr>
          <w:rFonts w:cs="Arial"/>
          <w:color w:val="000000"/>
        </w:rPr>
        <w:lastRenderedPageBreak/>
        <w:t xml:space="preserve">time at both the Maximum Charging Rate and derated charge rates) will be used to determine </w:t>
      </w:r>
      <w:proofErr w:type="gramStart"/>
      <w:r>
        <w:rPr>
          <w:rFonts w:cs="Arial"/>
          <w:color w:val="000000"/>
        </w:rPr>
        <w:t>the  Minimum</w:t>
      </w:r>
      <w:proofErr w:type="gramEnd"/>
      <w:r>
        <w:rPr>
          <w:rFonts w:cs="Arial"/>
          <w:color w:val="000000"/>
        </w:rPr>
        <w:t xml:space="preserve"> Charging Time.</w:t>
      </w:r>
    </w:p>
    <w:p w:rsidR="0079779A" w:rsidRDefault="003E5439" w14:paraId="5ACA26D2" w14:textId="77777777">
      <w:pPr>
        <w:ind w:left="2160" w:hanging="720"/>
        <w:jc w:val="both"/>
        <w:rPr>
          <w:rFonts w:cs="Arial"/>
          <w:color w:val="000000"/>
        </w:rPr>
      </w:pPr>
      <w:r>
        <w:rPr>
          <w:rFonts w:cs="Arial"/>
          <w:color w:val="000000"/>
        </w:rPr>
        <w:t>(vii)</w:t>
      </w:r>
      <w:r>
        <w:rPr>
          <w:rFonts w:cs="Arial"/>
          <w:color w:val="000000"/>
        </w:rPr>
        <w:tab/>
        <w:t>The system shall be left at rest in an active standby state for 120 minutes or time adjusted by Seller based on battery technology.</w:t>
      </w:r>
    </w:p>
    <w:p w:rsidR="0079779A" w:rsidRDefault="003E5439" w14:paraId="18402C6B" w14:textId="77777777">
      <w:pPr>
        <w:ind w:left="2160" w:hanging="720"/>
        <w:rPr>
          <w:rFonts w:cs="Arial"/>
          <w:color w:val="000000"/>
        </w:rPr>
      </w:pPr>
      <w:r>
        <w:rPr>
          <w:rFonts w:cs="Arial"/>
          <w:color w:val="000000"/>
        </w:rPr>
        <w:t>(viii)</w:t>
      </w:r>
      <w:r>
        <w:rPr>
          <w:rFonts w:cs="Arial"/>
          <w:color w:val="000000"/>
        </w:rPr>
        <w:tab/>
        <w:t xml:space="preserve">The Battery Storage System shall be discharged as close to the Guaranteed Maximum Discharging Rate specified in </w:t>
      </w:r>
      <w:r>
        <w:rPr>
          <w:rFonts w:cs="Arial"/>
          <w:color w:val="000000"/>
          <w:u w:val="single"/>
        </w:rPr>
        <w:t>Exhibit M-1</w:t>
      </w:r>
      <w:r>
        <w:rPr>
          <w:rFonts w:cs="Arial"/>
          <w:color w:val="000000"/>
        </w:rPr>
        <w:t>. The maximum AC power during this discharge cycle shall be recorded and used for satisfaction of the Guaranteed Maximum Discharging Rate.  AC energy output </w:t>
      </w:r>
      <w:proofErr w:type="spellStart"/>
      <w:r>
        <w:rPr>
          <w:rFonts w:cs="Arial"/>
          <w:b/>
          <w:bCs/>
          <w:color w:val="000000"/>
        </w:rPr>
        <w:t>WhDi</w:t>
      </w:r>
      <w:proofErr w:type="spellEnd"/>
      <w:r>
        <w:rPr>
          <w:rFonts w:cs="Arial"/>
          <w:color w:val="000000"/>
        </w:rPr>
        <w:t> out of the system during system discharging, and the time until the system begins to limit discharge below the Guaranteed Maximum Discharging Rate shall be measured and recorded. The time period until the system has supplied the Guaranteed Storage Capacity will be used for satisfaction of Guaranteed Minimum Discharging Time.</w:t>
      </w:r>
    </w:p>
    <w:p w:rsidR="0079779A" w:rsidRDefault="003E5439" w14:paraId="70F4CE73" w14:textId="77777777">
      <w:pPr>
        <w:ind w:left="2160" w:hanging="720"/>
        <w:rPr>
          <w:rFonts w:cs="Arial"/>
          <w:color w:val="000000"/>
        </w:rPr>
      </w:pPr>
      <w:r>
        <w:rPr>
          <w:rFonts w:cs="Arial"/>
          <w:color w:val="000000"/>
        </w:rPr>
        <w:t>(ix)</w:t>
      </w:r>
      <w:r>
        <w:rPr>
          <w:rFonts w:cs="Arial"/>
          <w:color w:val="000000"/>
        </w:rPr>
        <w:tab/>
        <w:t>The system shall be discharged from the prior level to 0% SOC (or its warranted limits) at a current/voltage limited by the BMS. The total AC energy output from the system </w:t>
      </w:r>
      <w:proofErr w:type="spellStart"/>
      <w:r>
        <w:rPr>
          <w:rFonts w:cs="Arial"/>
          <w:b/>
          <w:bCs/>
          <w:color w:val="000000"/>
        </w:rPr>
        <w:t>WhD</w:t>
      </w:r>
      <w:proofErr w:type="spellEnd"/>
      <w:r>
        <w:rPr>
          <w:rFonts w:cs="Arial"/>
          <w:b/>
          <w:bCs/>
          <w:color w:val="000000"/>
        </w:rPr>
        <w:t> </w:t>
      </w:r>
      <w:r>
        <w:rPr>
          <w:rFonts w:cs="Arial"/>
          <w:color w:val="000000"/>
        </w:rPr>
        <w:t>(includes the energy at both the rated and derated discharge rates)</w:t>
      </w:r>
      <w:r>
        <w:rPr>
          <w:rFonts w:cs="Arial"/>
          <w:b/>
          <w:bCs/>
          <w:color w:val="000000"/>
        </w:rPr>
        <w:t> </w:t>
      </w:r>
      <w:r>
        <w:rPr>
          <w:rFonts w:cs="Arial"/>
          <w:bCs/>
          <w:color w:val="000000"/>
        </w:rPr>
        <w:t>shall be measured and recorded during discharge.</w:t>
      </w:r>
      <w:r>
        <w:rPr>
          <w:rFonts w:cs="Arial"/>
          <w:color w:val="000000"/>
        </w:rPr>
        <w:t xml:space="preserve">  </w:t>
      </w:r>
    </w:p>
    <w:p w:rsidR="0079779A" w:rsidRDefault="003E5439" w14:paraId="7AA0F9D9" w14:textId="77777777">
      <w:pPr>
        <w:ind w:left="2160" w:hanging="720"/>
        <w:rPr>
          <w:rFonts w:cs="Arial"/>
          <w:color w:val="000000"/>
        </w:rPr>
      </w:pPr>
      <w:r>
        <w:rPr>
          <w:rFonts w:cs="Arial"/>
          <w:color w:val="000000"/>
        </w:rPr>
        <w:t>(x)</w:t>
      </w:r>
      <w:r>
        <w:rPr>
          <w:rFonts w:cs="Arial"/>
          <w:color w:val="000000"/>
        </w:rPr>
        <w:tab/>
        <w:t>The system shall be left at rest in an active standby state for 120 minutes or time adjusted by Seller based on battery technology.</w:t>
      </w:r>
    </w:p>
    <w:p w:rsidR="0079779A" w:rsidRDefault="003E5439" w14:paraId="0C9E0594" w14:textId="77777777">
      <w:pPr>
        <w:ind w:left="2160" w:hanging="720"/>
        <w:rPr>
          <w:rFonts w:cs="Arial"/>
          <w:color w:val="000000"/>
        </w:rPr>
      </w:pPr>
      <w:r>
        <w:rPr>
          <w:rFonts w:cs="Arial"/>
          <w:color w:val="000000"/>
        </w:rPr>
        <w:t xml:space="preserve">(xi) </w:t>
      </w:r>
      <w:r>
        <w:rPr>
          <w:rFonts w:cs="Arial"/>
          <w:color w:val="000000"/>
        </w:rPr>
        <w:tab/>
        <w:t>The reference capacity test value (Storage Capacity) shall be </w:t>
      </w:r>
      <w:proofErr w:type="spellStart"/>
      <w:r>
        <w:rPr>
          <w:rFonts w:cs="Arial"/>
          <w:b/>
          <w:bCs/>
          <w:color w:val="000000"/>
        </w:rPr>
        <w:t>WhDi</w:t>
      </w:r>
      <w:proofErr w:type="spellEnd"/>
      <w:r>
        <w:rPr>
          <w:rFonts w:cs="Arial"/>
          <w:b/>
          <w:bCs/>
          <w:color w:val="000000"/>
        </w:rPr>
        <w:t> </w:t>
      </w:r>
      <w:r>
        <w:rPr>
          <w:rFonts w:cs="Arial"/>
          <w:color w:val="000000"/>
        </w:rPr>
        <w:t>as measured in F.(viii). </w:t>
      </w:r>
    </w:p>
    <w:p w:rsidR="0079779A" w:rsidRDefault="003E5439" w14:paraId="2548A91A" w14:textId="77777777">
      <w:pPr>
        <w:ind w:left="2160" w:hanging="720"/>
        <w:rPr>
          <w:rFonts w:cs="Arial"/>
          <w:color w:val="000000"/>
        </w:rPr>
      </w:pPr>
      <w:r>
        <w:rPr>
          <w:rFonts w:cs="Arial"/>
          <w:color w:val="000000"/>
        </w:rPr>
        <w:t>(xii)</w:t>
      </w:r>
      <w:r>
        <w:rPr>
          <w:rFonts w:cs="Arial"/>
          <w:color w:val="000000"/>
        </w:rPr>
        <w:tab/>
        <w:t>The power and times (hours/minutes/seconds) recorded in steps F.(v), F.(vi), and F.(viii) shall be the value used to verify conformance to the Guaranteed Maximum Charging Rate, Guaranteed Maximum Discharging Rate, Guaranteed Minimum Charging Time, and Guaranteed Minimum Discharging Time.</w:t>
      </w:r>
    </w:p>
    <w:p w:rsidR="0079779A" w:rsidRDefault="003E5439" w14:paraId="6F8C15F8" w14:textId="77777777">
      <w:pPr>
        <w:ind w:left="2160" w:hanging="720"/>
        <w:jc w:val="both"/>
        <w:rPr>
          <w:rFonts w:cs="Arial"/>
          <w:color w:val="000000"/>
        </w:rPr>
      </w:pPr>
      <w:r>
        <w:rPr>
          <w:rFonts w:cs="Arial"/>
          <w:color w:val="000000"/>
        </w:rPr>
        <w:t>(xiii)</w:t>
      </w:r>
      <w:r>
        <w:rPr>
          <w:rFonts w:cs="Arial"/>
          <w:color w:val="000000"/>
        </w:rPr>
        <w:tab/>
        <w:t>The total AC energy input </w:t>
      </w:r>
      <w:proofErr w:type="spellStart"/>
      <w:r>
        <w:rPr>
          <w:rFonts w:cs="Arial"/>
          <w:b/>
          <w:bCs/>
          <w:color w:val="000000"/>
        </w:rPr>
        <w:t>WhI</w:t>
      </w:r>
      <w:proofErr w:type="spellEnd"/>
      <w:r>
        <w:rPr>
          <w:rFonts w:cs="Arial"/>
          <w:b/>
          <w:bCs/>
          <w:color w:val="000000"/>
        </w:rPr>
        <w:t> </w:t>
      </w:r>
      <w:r>
        <w:rPr>
          <w:rFonts w:cs="Arial"/>
          <w:color w:val="000000"/>
        </w:rPr>
        <w:t>and the total AC energy output from the system </w:t>
      </w:r>
      <w:proofErr w:type="spellStart"/>
      <w:r>
        <w:rPr>
          <w:rFonts w:cs="Arial"/>
          <w:b/>
          <w:bCs/>
          <w:color w:val="000000"/>
        </w:rPr>
        <w:t>WhD</w:t>
      </w:r>
      <w:proofErr w:type="spellEnd"/>
      <w:r>
        <w:rPr>
          <w:rFonts w:cs="Arial"/>
          <w:b/>
          <w:bCs/>
          <w:color w:val="000000"/>
        </w:rPr>
        <w:t xml:space="preserve"> </w:t>
      </w:r>
      <w:r>
        <w:rPr>
          <w:rFonts w:cs="Arial"/>
          <w:color w:val="000000"/>
        </w:rPr>
        <w:t xml:space="preserve">recorded in steps F.(vi) and F.(ix) shall be used to determine Round Trip Efficiency for conformance to the Guaranteed Round Trip Efficiency. The Guaranteed Round Trip Efficiency shall be as defined in Part II of this </w:t>
      </w:r>
      <w:r>
        <w:rPr>
          <w:rFonts w:cs="Arial"/>
          <w:color w:val="000000"/>
          <w:u w:val="single"/>
        </w:rPr>
        <w:t>Exhibit M</w:t>
      </w:r>
      <w:r>
        <w:rPr>
          <w:rFonts w:cs="Arial"/>
          <w:color w:val="000000"/>
        </w:rPr>
        <w:t>.</w:t>
      </w:r>
    </w:p>
    <w:p w:rsidR="0079779A" w:rsidRDefault="003E5439" w14:paraId="6C33CEE4" w14:textId="77777777">
      <w:pPr>
        <w:ind w:left="1440" w:hanging="720"/>
        <w:jc w:val="both"/>
        <w:rPr>
          <w:rFonts w:cs="Arial"/>
          <w:color w:val="000000"/>
        </w:rPr>
      </w:pPr>
      <w:r>
        <w:rPr>
          <w:rFonts w:cs="Arial"/>
          <w:color w:val="000000"/>
        </w:rPr>
        <w:t xml:space="preserve">G. </w:t>
      </w:r>
      <w:r>
        <w:rPr>
          <w:rFonts w:cs="Arial"/>
          <w:color w:val="000000"/>
        </w:rPr>
        <w:tab/>
        <w:t>Grid Charging Capability Test (During COD Test):</w:t>
      </w:r>
    </w:p>
    <w:p w:rsidR="0079779A" w:rsidRDefault="003E5439" w14:paraId="1A94EE27" w14:textId="77777777">
      <w:pPr>
        <w:ind w:left="2160" w:hanging="720"/>
        <w:jc w:val="both"/>
        <w:rPr>
          <w:rFonts w:cs="Arial"/>
          <w:color w:val="000000"/>
        </w:rPr>
      </w:pPr>
      <w:r>
        <w:rPr>
          <w:rFonts w:cs="Arial"/>
          <w:color w:val="000000"/>
        </w:rPr>
        <w:t>(i) </w:t>
      </w:r>
      <w:r>
        <w:rPr>
          <w:rFonts w:cs="Arial"/>
          <w:color w:val="000000"/>
        </w:rPr>
        <w:tab/>
        <w:t xml:space="preserve">Modify control system to disable code that prevents grid charging. Note this step must be performed by Seller’s qualified controls programmer. </w:t>
      </w:r>
    </w:p>
    <w:p w:rsidR="0079779A" w:rsidRDefault="003E5439" w14:paraId="5E81023E" w14:textId="77777777">
      <w:pPr>
        <w:ind w:left="2160" w:hanging="720"/>
        <w:jc w:val="both"/>
        <w:rPr>
          <w:rFonts w:cs="Arial"/>
          <w:color w:val="000000"/>
        </w:rPr>
      </w:pPr>
      <w:r>
        <w:rPr>
          <w:rFonts w:cs="Arial"/>
          <w:color w:val="000000"/>
        </w:rPr>
        <w:t xml:space="preserve">(ii) </w:t>
      </w:r>
      <w:r>
        <w:rPr>
          <w:rFonts w:cs="Arial"/>
          <w:color w:val="000000"/>
        </w:rPr>
        <w:tab/>
        <w:t>If SOC is above 80% discharge at a rate specified by Seller until Battery Storage Systems is below 80% SOC.</w:t>
      </w:r>
    </w:p>
    <w:p w:rsidR="0079779A" w:rsidRDefault="003E5439" w14:paraId="163FE795" w14:textId="77777777">
      <w:pPr>
        <w:ind w:left="2160" w:hanging="720"/>
        <w:jc w:val="both"/>
        <w:rPr>
          <w:rFonts w:cs="Arial"/>
          <w:color w:val="000000"/>
        </w:rPr>
      </w:pPr>
      <w:r>
        <w:rPr>
          <w:rFonts w:cs="Arial"/>
          <w:color w:val="000000"/>
        </w:rPr>
        <w:t>(iii)</w:t>
      </w:r>
      <w:r>
        <w:rPr>
          <w:rFonts w:cs="Arial"/>
          <w:color w:val="000000"/>
        </w:rPr>
        <w:tab/>
        <w:t>Record the SOC of the Battery Storage System.</w:t>
      </w:r>
    </w:p>
    <w:p w:rsidR="0079779A" w:rsidRDefault="003E5439" w14:paraId="2CA3F78D" w14:textId="77777777">
      <w:pPr>
        <w:ind w:left="2160" w:hanging="720"/>
        <w:jc w:val="both"/>
        <w:rPr>
          <w:rFonts w:cs="Arial"/>
          <w:color w:val="000000"/>
        </w:rPr>
      </w:pPr>
      <w:r>
        <w:rPr>
          <w:rFonts w:cs="Arial"/>
          <w:color w:val="000000"/>
        </w:rPr>
        <w:t>(iv) </w:t>
      </w:r>
      <w:r>
        <w:rPr>
          <w:rFonts w:cs="Arial"/>
          <w:color w:val="000000"/>
        </w:rPr>
        <w:tab/>
        <w:t xml:space="preserve">The Battery Storage System shall be charged at the Maximum Charging Rate for 10 minutes. </w:t>
      </w:r>
    </w:p>
    <w:p w:rsidR="0079779A" w:rsidRDefault="003E5439" w14:paraId="295CAD72" w14:textId="77777777">
      <w:pPr>
        <w:ind w:left="2160" w:hanging="720"/>
        <w:jc w:val="both"/>
        <w:rPr>
          <w:rFonts w:cs="Arial"/>
          <w:color w:val="000000"/>
        </w:rPr>
      </w:pPr>
      <w:r>
        <w:rPr>
          <w:rFonts w:cs="Arial"/>
          <w:color w:val="000000"/>
        </w:rPr>
        <w:t>(v) </w:t>
      </w:r>
      <w:r>
        <w:rPr>
          <w:rFonts w:cs="Arial"/>
          <w:color w:val="000000"/>
        </w:rPr>
        <w:tab/>
        <w:t>Following the 10-minute charging period, record the final SOC of the Battery Storage System.</w:t>
      </w:r>
    </w:p>
    <w:p w:rsidR="0079779A" w:rsidRDefault="003E5439" w14:paraId="6376C45B" w14:textId="77777777">
      <w:pPr>
        <w:ind w:left="2160" w:hanging="720"/>
        <w:jc w:val="both"/>
        <w:rPr>
          <w:rFonts w:cs="Arial"/>
          <w:color w:val="000000"/>
        </w:rPr>
      </w:pPr>
      <w:r>
        <w:rPr>
          <w:rFonts w:cs="Arial"/>
          <w:color w:val="000000"/>
        </w:rPr>
        <w:lastRenderedPageBreak/>
        <w:t xml:space="preserve">(vi) </w:t>
      </w:r>
      <w:r>
        <w:rPr>
          <w:rFonts w:cs="Arial"/>
          <w:color w:val="000000"/>
        </w:rPr>
        <w:tab/>
        <w:t>The initial and final SOC of the Battery Storage System recorded in steps G.(iii) and G.(v</w:t>
      </w:r>
      <w:proofErr w:type="gramStart"/>
      <w:r>
        <w:rPr>
          <w:rFonts w:cs="Arial"/>
          <w:color w:val="000000"/>
        </w:rPr>
        <w:t>), and</w:t>
      </w:r>
      <w:proofErr w:type="gramEnd"/>
      <w:r>
        <w:rPr>
          <w:rFonts w:cs="Arial"/>
          <w:color w:val="000000"/>
        </w:rPr>
        <w:t xml:space="preserve"> achieved charging rate shall be used to verify conformance to Grid Charging Capability.</w:t>
      </w:r>
    </w:p>
    <w:p w:rsidR="0079779A" w:rsidRDefault="003E5439" w14:paraId="5E57BE02" w14:textId="77777777">
      <w:pPr>
        <w:ind w:left="2160" w:hanging="720"/>
        <w:jc w:val="both"/>
        <w:rPr>
          <w:rFonts w:cs="Arial"/>
          <w:b/>
        </w:rPr>
      </w:pPr>
      <w:r>
        <w:rPr>
          <w:rFonts w:cs="Arial"/>
          <w:color w:val="000000"/>
        </w:rPr>
        <w:t xml:space="preserve">(vii) </w:t>
      </w:r>
      <w:r>
        <w:rPr>
          <w:rFonts w:cs="Arial"/>
          <w:color w:val="000000"/>
        </w:rPr>
        <w:tab/>
        <w:t xml:space="preserve">Modify control system to enable code that prevents grid charging. Note this step must be performed by Seller’s qualified controls programmer. </w:t>
      </w:r>
      <w:r>
        <w:rPr>
          <w:rFonts w:cs="Arial"/>
          <w:b/>
        </w:rPr>
        <w:fldChar w:fldCharType="begin"/>
      </w:r>
      <w:r>
        <w:rPr>
          <w:rFonts w:cs="Arial"/>
        </w:rPr>
        <w:instrText xml:space="preserve"> TC \l "1"</w:instrText>
      </w:r>
      <w:r>
        <w:rPr>
          <w:rFonts w:cs="Arial"/>
          <w:b/>
        </w:rPr>
        <w:fldChar w:fldCharType="end"/>
      </w:r>
    </w:p>
    <w:p w:rsidR="0079779A" w:rsidRDefault="0079779A" w14:paraId="67214298" w14:textId="77777777">
      <w:pPr>
        <w:pStyle w:val="ListParagraph"/>
        <w:widowControl w:val="0"/>
        <w:adjustRightInd w:val="0"/>
        <w:spacing w:after="240"/>
        <w:textAlignment w:val="baseline"/>
        <w:rPr>
          <w:rFonts w:cs="Arial"/>
          <w:bCs/>
          <w:noProof/>
          <w:color w:val="000000"/>
        </w:rPr>
      </w:pPr>
      <w:bookmarkStart w:name="_DV_M565" w:id="598"/>
      <w:bookmarkStart w:name="_DV_M566" w:id="599"/>
      <w:bookmarkStart w:name="_DV_M567" w:id="600"/>
      <w:bookmarkStart w:name="_DV_M568" w:id="601"/>
      <w:bookmarkStart w:name="_DV_M569" w:id="602"/>
      <w:bookmarkStart w:name="_DV_M570" w:id="603"/>
      <w:bookmarkStart w:name="_DV_M571" w:id="604"/>
      <w:bookmarkStart w:name="_DV_M572" w:id="605"/>
      <w:bookmarkStart w:name="_DV_M573" w:id="606"/>
      <w:bookmarkStart w:name="_DV_M574" w:id="607"/>
      <w:bookmarkStart w:name="_DV_M575" w:id="608"/>
      <w:bookmarkStart w:name="_DV_M576" w:id="609"/>
      <w:bookmarkStart w:name="_DV_M577" w:id="610"/>
      <w:bookmarkStart w:name="_DV_M578" w:id="611"/>
      <w:bookmarkStart w:name="_DV_M581" w:id="612"/>
      <w:bookmarkStart w:name="_DV_M582" w:id="613"/>
      <w:bookmarkStart w:name="_DV_M583" w:id="614"/>
      <w:bookmarkStart w:name="_DV_M584" w:id="615"/>
      <w:bookmarkStart w:name="_DV_M585" w:id="616"/>
      <w:bookmarkStart w:name="_DV_M586" w:id="617"/>
      <w:bookmarkStart w:name="_DV_M587" w:id="618"/>
      <w:bookmarkStart w:name="_DV_M588" w:id="619"/>
      <w:bookmarkStart w:name="_DV_M589" w:id="620"/>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p>
    <w:p w:rsidR="0079779A" w:rsidRDefault="003E5439" w14:paraId="0204A254" w14:textId="77777777">
      <w:pPr>
        <w:spacing w:after="240"/>
        <w:jc w:val="center"/>
        <w:textAlignment w:val="baseline"/>
        <w:rPr>
          <w:rFonts w:eastAsia="Arial" w:cs="Arial"/>
          <w:color w:val="000000"/>
        </w:rPr>
        <w:sectPr w:rsidR="0079779A">
          <w:footerReference w:type="default" r:id="rId48"/>
          <w:pgSz w:w="12240" w:h="15840" w:code="1"/>
          <w:pgMar w:top="1440" w:right="1440" w:bottom="1440" w:left="1440" w:header="720" w:footer="720" w:gutter="0"/>
          <w:pgNumType w:start="1"/>
          <w:cols w:space="720"/>
        </w:sectPr>
      </w:pPr>
      <w:r>
        <w:rPr>
          <w:rFonts w:eastAsia="Arial" w:cs="Arial"/>
          <w:color w:val="000000"/>
        </w:rPr>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r>
    </w:p>
    <w:p w:rsidR="0079779A" w:rsidRDefault="003E5439" w14:paraId="06D43395" w14:textId="77777777">
      <w:pPr>
        <w:pageBreakBefore/>
        <w:spacing w:after="120"/>
        <w:ind w:left="360"/>
        <w:jc w:val="center"/>
        <w:outlineLvl w:val="0"/>
        <w:rPr>
          <w:rFonts w:cs="Arial"/>
          <w:b/>
        </w:rPr>
      </w:pPr>
      <w:r>
        <w:rPr>
          <w:rFonts w:cs="Arial"/>
          <w:b/>
        </w:rPr>
        <w:lastRenderedPageBreak/>
        <w:t>EXHIBIT M-1</w:t>
      </w:r>
    </w:p>
    <w:p w:rsidR="0079779A" w:rsidRDefault="0079779A" w14:paraId="15CB7E0D" w14:textId="77777777">
      <w:pPr>
        <w:spacing w:after="120"/>
        <w:ind w:left="360"/>
        <w:jc w:val="center"/>
        <w:outlineLvl w:val="0"/>
        <w:rPr>
          <w:rFonts w:cs="Arial"/>
          <w:b/>
        </w:rPr>
      </w:pPr>
    </w:p>
    <w:p w:rsidR="0079779A" w:rsidRDefault="003E5439" w14:paraId="3AAF758E" w14:textId="77777777">
      <w:pPr>
        <w:spacing w:after="240"/>
        <w:jc w:val="center"/>
        <w:textAlignment w:val="baseline"/>
        <w:rPr>
          <w:rFonts w:cs="Arial"/>
        </w:rPr>
      </w:pPr>
      <w:r>
        <w:rPr>
          <w:rFonts w:cs="Arial"/>
          <w:b/>
        </w:rPr>
        <w:t>GUARANTEED PERFORMANCE LEVELS</w:t>
      </w:r>
    </w:p>
    <w:p w:rsidR="0079779A" w:rsidRDefault="003E5439" w14:paraId="783DA60E" w14:textId="77777777">
      <w:pPr>
        <w:spacing w:after="240"/>
        <w:jc w:val="center"/>
        <w:textAlignment w:val="baseline"/>
      </w:pPr>
      <w:r>
        <w:rPr>
          <w:rFonts w:cs="Arial"/>
          <w:b/>
        </w:rPr>
        <w:t xml:space="preserve">BATTERY STORAGE SYSTEM </w:t>
      </w:r>
      <w:r>
        <w:rPr>
          <w:b/>
        </w:rPr>
        <w:t>GUARANTEED PERFORMANCE LEVELS</w:t>
      </w:r>
    </w:p>
    <w:p w:rsidR="0079779A" w:rsidRDefault="003E5439" w14:paraId="70186AF5" w14:textId="77777777">
      <w:r>
        <w:t xml:space="preserve">This </w:t>
      </w:r>
      <w:r>
        <w:rPr>
          <w:u w:val="single"/>
        </w:rPr>
        <w:t xml:space="preserve">Exhibit M-1 </w:t>
      </w:r>
      <w:r>
        <w:t>sets forth the guaranteed performance levels (“</w:t>
      </w:r>
      <w:r>
        <w:rPr>
          <w:u w:val="single"/>
        </w:rPr>
        <w:t>Guaranteed Performance</w:t>
      </w:r>
      <w:r>
        <w:t xml:space="preserve">”) for certain Performance Criteria. </w:t>
      </w:r>
    </w:p>
    <w:p w:rsidR="0079779A" w:rsidRDefault="0079779A" w14:paraId="73CC2D37" w14:textId="77777777"/>
    <w:p w:rsidR="0079779A" w:rsidRDefault="003E5439" w14:paraId="7AEF8CB1" w14:textId="77777777">
      <w:pPr>
        <w:spacing w:after="240"/>
        <w:jc w:val="both"/>
        <w:rPr>
          <w:rFonts w:cs="Arial"/>
        </w:rPr>
      </w:pPr>
      <w:r>
        <w:rPr>
          <w:rFonts w:cs="Arial"/>
          <w:u w:val="single"/>
        </w:rPr>
        <w:t>Guaranteed Round Trip Efficiency</w:t>
      </w:r>
      <w:r>
        <w:rPr>
          <w:rFonts w:cs="Arial"/>
        </w:rPr>
        <w:t xml:space="preserve">: </w:t>
      </w:r>
    </w:p>
    <w:p w:rsidR="0079779A" w:rsidRDefault="003E5439" w14:paraId="52F549ED" w14:textId="77777777">
      <w:pPr>
        <w:spacing w:after="240"/>
      </w:pPr>
      <w:r>
        <w:t xml:space="preserve">The Guaranteed </w:t>
      </w:r>
      <w:r>
        <w:rPr>
          <w:rFonts w:cs="Arial"/>
        </w:rPr>
        <w:t>Round Trip Efficiency</w:t>
      </w:r>
      <w:r>
        <w:t xml:space="preserve"> shall be </w:t>
      </w:r>
      <w:r>
        <w:rPr>
          <w:rFonts w:cs="Arial"/>
        </w:rPr>
        <w:t>as set forth</w:t>
      </w:r>
      <w:r>
        <w:t xml:space="preserve"> in the </w:t>
      </w:r>
      <w:r>
        <w:rPr>
          <w:rFonts w:cs="Arial"/>
        </w:rPr>
        <w:t>table below</w:t>
      </w:r>
      <w:r>
        <w:t xml:space="preserve">: </w:t>
      </w:r>
    </w:p>
    <w:tbl>
      <w:tblPr>
        <w:tblW w:w="2297" w:type="dxa"/>
        <w:tblInd w:w="2880" w:type="dxa"/>
        <w:tblLayout w:type="fixed"/>
        <w:tblCellMar>
          <w:left w:w="0" w:type="dxa"/>
          <w:right w:w="0" w:type="dxa"/>
        </w:tblCellMar>
        <w:tblLook w:val="04A0" w:firstRow="1" w:lastRow="0" w:firstColumn="1" w:lastColumn="0" w:noHBand="0" w:noVBand="1"/>
      </w:tblPr>
      <w:tblGrid>
        <w:gridCol w:w="1149"/>
        <w:gridCol w:w="1148"/>
      </w:tblGrid>
      <w:tr w:rsidR="0079779A" w14:paraId="1ABF9781" w14:textId="77777777">
        <w:trPr>
          <w:trHeight w:val="300"/>
        </w:trPr>
        <w:tc>
          <w:tcPr>
            <w:tcW w:w="1149"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2721EB08" w14:textId="77777777">
            <w:pPr>
              <w:jc w:val="center"/>
            </w:pPr>
            <w:bookmarkStart w:name="_Hlk6493981" w:id="621"/>
            <w:r>
              <w:rPr>
                <w:color w:val="000000"/>
              </w:rPr>
              <w:t>Year</w:t>
            </w:r>
          </w:p>
        </w:tc>
        <w:tc>
          <w:tcPr>
            <w:tcW w:w="1148"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5B4254E4" w14:textId="77777777">
            <w:pPr>
              <w:jc w:val="center"/>
            </w:pPr>
            <w:r>
              <w:rPr>
                <w:color w:val="000000"/>
              </w:rPr>
              <w:t xml:space="preserve">RTE </w:t>
            </w:r>
          </w:p>
        </w:tc>
      </w:tr>
      <w:tr w:rsidR="0079779A" w14:paraId="34A7871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43240030" w14:textId="77777777">
            <w:pPr>
              <w:jc w:val="center"/>
            </w:pPr>
            <w:r>
              <w:t>1</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vAlign w:val="center"/>
          </w:tcPr>
          <w:p w:rsidR="0079779A" w:rsidRDefault="0079779A" w14:paraId="5728007C" w14:textId="77777777">
            <w:pPr>
              <w:jc w:val="center"/>
            </w:pPr>
          </w:p>
        </w:tc>
      </w:tr>
      <w:tr w:rsidR="0079779A" w14:paraId="5E75EF8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19F6425E" w14:textId="77777777">
            <w:pPr>
              <w:jc w:val="center"/>
            </w:pPr>
            <w:r>
              <w:t>2</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175CCECB" w14:textId="77777777">
            <w:pPr>
              <w:jc w:val="center"/>
            </w:pPr>
          </w:p>
        </w:tc>
      </w:tr>
      <w:tr w:rsidR="0079779A" w14:paraId="2562BE61"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6D72E735" w14:textId="77777777">
            <w:pPr>
              <w:jc w:val="center"/>
            </w:pPr>
            <w:r>
              <w:t>3</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6C1CBBEF" w14:textId="77777777">
            <w:pPr>
              <w:jc w:val="center"/>
            </w:pPr>
          </w:p>
        </w:tc>
      </w:tr>
      <w:tr w:rsidR="0079779A" w14:paraId="769CF92A"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582E6122" w14:textId="77777777">
            <w:pPr>
              <w:jc w:val="center"/>
            </w:pPr>
            <w:r>
              <w:t>4</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065143A6" w14:textId="77777777">
            <w:pPr>
              <w:jc w:val="center"/>
            </w:pPr>
          </w:p>
        </w:tc>
      </w:tr>
      <w:tr w:rsidR="0079779A" w14:paraId="1AC3F842"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7F0FB37E" w14:textId="77777777">
            <w:pPr>
              <w:jc w:val="center"/>
            </w:pPr>
            <w:r>
              <w:t>5</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1865F711" w14:textId="77777777">
            <w:pPr>
              <w:jc w:val="center"/>
            </w:pPr>
          </w:p>
        </w:tc>
      </w:tr>
      <w:tr w:rsidR="0079779A" w14:paraId="79EE9272"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6B17AE7A" w14:textId="77777777">
            <w:pPr>
              <w:jc w:val="center"/>
            </w:pPr>
            <w:r>
              <w:t>6</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068D687F" w14:textId="77777777">
            <w:pPr>
              <w:jc w:val="center"/>
            </w:pPr>
          </w:p>
        </w:tc>
      </w:tr>
      <w:tr w:rsidR="0079779A" w14:paraId="72157DD0"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5075161A" w14:textId="77777777">
            <w:pPr>
              <w:jc w:val="center"/>
            </w:pPr>
            <w:r>
              <w:t>7</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36DDB27F" w14:textId="77777777">
            <w:pPr>
              <w:jc w:val="center"/>
            </w:pPr>
          </w:p>
        </w:tc>
      </w:tr>
      <w:tr w:rsidR="0079779A" w14:paraId="0DADF109"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3D887FEF" w14:textId="77777777">
            <w:pPr>
              <w:jc w:val="center"/>
            </w:pPr>
            <w:r>
              <w:t>8</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38A0D8E7" w14:textId="77777777">
            <w:pPr>
              <w:jc w:val="center"/>
            </w:pPr>
          </w:p>
        </w:tc>
      </w:tr>
      <w:tr w:rsidR="0079779A" w14:paraId="6AD9CDD5"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650494F3" w14:textId="77777777">
            <w:pPr>
              <w:jc w:val="center"/>
            </w:pPr>
            <w:r>
              <w:t>9</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7BD30E55" w14:textId="77777777">
            <w:pPr>
              <w:jc w:val="center"/>
            </w:pPr>
          </w:p>
        </w:tc>
      </w:tr>
      <w:tr w:rsidR="0079779A" w14:paraId="17111E95"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40BA676E" w14:textId="77777777">
            <w:pPr>
              <w:jc w:val="center"/>
            </w:pPr>
            <w:r>
              <w:t>10</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4A1EB4F6" w14:textId="77777777">
            <w:pPr>
              <w:jc w:val="center"/>
            </w:pPr>
          </w:p>
        </w:tc>
      </w:tr>
      <w:tr w:rsidR="0079779A" w14:paraId="23DD44C3"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06CEEC1C" w14:textId="77777777">
            <w:pPr>
              <w:jc w:val="center"/>
            </w:pPr>
            <w:r>
              <w:t>11</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4B44A791" w14:textId="77777777">
            <w:pPr>
              <w:jc w:val="center"/>
            </w:pPr>
          </w:p>
        </w:tc>
      </w:tr>
      <w:tr w:rsidR="0079779A" w14:paraId="53C88772"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7AA3B392" w14:textId="77777777">
            <w:pPr>
              <w:jc w:val="center"/>
            </w:pPr>
            <w:r>
              <w:t>12</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752CD3DC" w14:textId="77777777">
            <w:pPr>
              <w:jc w:val="center"/>
            </w:pPr>
          </w:p>
        </w:tc>
      </w:tr>
      <w:tr w:rsidR="0079779A" w14:paraId="38DCC10B"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4F01093D" w14:textId="77777777">
            <w:pPr>
              <w:jc w:val="center"/>
            </w:pPr>
            <w:r>
              <w:t>13</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75CC476B" w14:textId="77777777">
            <w:pPr>
              <w:jc w:val="center"/>
            </w:pPr>
          </w:p>
        </w:tc>
      </w:tr>
      <w:tr w:rsidR="0079779A" w14:paraId="50640E5C"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07E68F80" w14:textId="77777777">
            <w:pPr>
              <w:jc w:val="center"/>
            </w:pPr>
            <w:r>
              <w:t>14</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331BE66F" w14:textId="77777777">
            <w:pPr>
              <w:jc w:val="center"/>
            </w:pPr>
          </w:p>
        </w:tc>
      </w:tr>
      <w:tr w:rsidR="0079779A" w14:paraId="2161C9C7"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2987B7B0" w14:textId="77777777">
            <w:pPr>
              <w:jc w:val="center"/>
            </w:pPr>
            <w:r>
              <w:t>15</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569EB3BA" w14:textId="77777777">
            <w:pPr>
              <w:jc w:val="center"/>
            </w:pPr>
          </w:p>
        </w:tc>
      </w:tr>
      <w:tr w:rsidR="0079779A" w14:paraId="7A362EFE"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3F869DA7" w14:textId="77777777">
            <w:pPr>
              <w:jc w:val="center"/>
            </w:pPr>
            <w:r>
              <w:t>16</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2A5AD8A6" w14:textId="77777777">
            <w:pPr>
              <w:jc w:val="center"/>
            </w:pPr>
          </w:p>
        </w:tc>
      </w:tr>
      <w:tr w:rsidR="0079779A" w14:paraId="1662F5CF"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0BB5CC8C" w14:textId="77777777">
            <w:pPr>
              <w:jc w:val="center"/>
            </w:pPr>
            <w:r>
              <w:t>17</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5874DD84" w14:textId="77777777">
            <w:pPr>
              <w:jc w:val="center"/>
            </w:pPr>
          </w:p>
        </w:tc>
      </w:tr>
      <w:tr w:rsidR="0079779A" w14:paraId="7BAD775E"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6D7CCC68" w14:textId="77777777">
            <w:pPr>
              <w:jc w:val="center"/>
            </w:pPr>
            <w:r>
              <w:t>18</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67BA9330" w14:textId="77777777">
            <w:pPr>
              <w:jc w:val="center"/>
            </w:pPr>
          </w:p>
        </w:tc>
      </w:tr>
      <w:tr w:rsidR="0079779A" w14:paraId="26A7FC85"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48C956AC" w14:textId="77777777">
            <w:pPr>
              <w:jc w:val="center"/>
            </w:pPr>
            <w:r>
              <w:t>19</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6F0ED255" w14:textId="77777777">
            <w:pPr>
              <w:jc w:val="center"/>
            </w:pPr>
          </w:p>
        </w:tc>
      </w:tr>
      <w:tr w:rsidR="0079779A" w14:paraId="3AD16E34" w14:textId="77777777">
        <w:trPr>
          <w:trHeight w:val="300"/>
        </w:trPr>
        <w:tc>
          <w:tcPr>
            <w:tcW w:w="1149"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hideMark/>
          </w:tcPr>
          <w:p w:rsidR="0079779A" w:rsidRDefault="003E5439" w14:paraId="158F34B0" w14:textId="77777777">
            <w:pPr>
              <w:jc w:val="center"/>
            </w:pPr>
            <w:r>
              <w:t>20</w:t>
            </w:r>
          </w:p>
        </w:tc>
        <w:tc>
          <w:tcPr>
            <w:tcW w:w="1148" w:type="dxa"/>
            <w:tcBorders>
              <w:top w:val="nil"/>
              <w:left w:val="nil"/>
              <w:bottom w:val="single" w:color="auto" w:sz="8" w:space="0"/>
              <w:right w:val="single" w:color="auto" w:sz="8" w:space="0"/>
            </w:tcBorders>
            <w:noWrap/>
            <w:tcMar>
              <w:top w:w="0" w:type="dxa"/>
              <w:left w:w="108" w:type="dxa"/>
              <w:bottom w:w="0" w:type="dxa"/>
              <w:right w:w="108" w:type="dxa"/>
            </w:tcMar>
          </w:tcPr>
          <w:p w:rsidR="0079779A" w:rsidRDefault="0079779A" w14:paraId="31E50A85" w14:textId="77777777">
            <w:pPr>
              <w:jc w:val="center"/>
            </w:pPr>
          </w:p>
        </w:tc>
      </w:tr>
      <w:bookmarkEnd w:id="621"/>
    </w:tbl>
    <w:p w:rsidR="0079779A" w:rsidRDefault="0079779A" w14:paraId="0F7D8B39" w14:textId="77777777">
      <w:pPr>
        <w:spacing w:after="240"/>
        <w:jc w:val="center"/>
        <w:rPr>
          <w:rFonts w:cs="Arial"/>
        </w:rPr>
      </w:pPr>
    </w:p>
    <w:p w:rsidR="0079779A" w:rsidRDefault="0079779A" w14:paraId="5E52C460" w14:textId="77777777"/>
    <w:p w:rsidR="0079779A" w:rsidRDefault="0079779A" w14:paraId="28447955" w14:textId="77777777"/>
    <w:p w:rsidR="0079779A" w:rsidRDefault="0079779A" w14:paraId="65EF7F47" w14:textId="77777777"/>
    <w:p w:rsidR="0079779A" w:rsidRDefault="0079779A" w14:paraId="2FF2B8FC" w14:textId="77777777"/>
    <w:p w:rsidR="0079779A" w:rsidRDefault="0079779A" w14:paraId="0DAF6E7F" w14:textId="77777777"/>
    <w:p w:rsidR="0079779A" w:rsidRDefault="0079779A" w14:paraId="1E2EB489" w14:textId="77777777"/>
    <w:p w:rsidR="0079779A" w:rsidRDefault="0079779A" w14:paraId="00D0C0AB" w14:textId="77777777"/>
    <w:tbl>
      <w:tblPr>
        <w:tblW w:w="10088" w:type="dxa"/>
        <w:tblInd w:w="-20" w:type="dxa"/>
        <w:tblCellMar>
          <w:left w:w="0" w:type="dxa"/>
          <w:right w:w="0" w:type="dxa"/>
        </w:tblCellMar>
        <w:tblLook w:val="04A0" w:firstRow="1" w:lastRow="0" w:firstColumn="1" w:lastColumn="0" w:noHBand="0" w:noVBand="1"/>
      </w:tblPr>
      <w:tblGrid>
        <w:gridCol w:w="3362"/>
        <w:gridCol w:w="3363"/>
        <w:gridCol w:w="3363"/>
      </w:tblGrid>
      <w:tr w:rsidR="0079779A" w14:paraId="3807ACEB" w14:textId="77777777">
        <w:trPr>
          <w:trHeight w:val="624"/>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0079779A" w:rsidRDefault="003E5439" w14:paraId="637C0BE1" w14:textId="77777777">
            <w:pPr>
              <w:jc w:val="center"/>
              <w:rPr>
                <w:rFonts w:cs="Arial"/>
                <w:b/>
                <w:color w:val="000000"/>
                <w:u w:val="single"/>
              </w:rPr>
            </w:pPr>
            <w:bookmarkStart w:name="_Hlk6494022" w:id="622"/>
            <w:r>
              <w:rPr>
                <w:rFonts w:cs="Arial"/>
                <w:b/>
                <w:color w:val="000000"/>
                <w:u w:val="single"/>
              </w:rPr>
              <w:lastRenderedPageBreak/>
              <w:t>Performance Metric</w:t>
            </w:r>
          </w:p>
        </w:tc>
        <w:tc>
          <w:tcPr>
            <w:tcW w:w="33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rsidR="0079779A" w:rsidRDefault="003E5439" w14:paraId="28E09394" w14:textId="77777777">
            <w:pPr>
              <w:jc w:val="center"/>
              <w:rPr>
                <w:rFonts w:cs="Arial"/>
                <w:b/>
                <w:color w:val="000000"/>
                <w:u w:val="single"/>
              </w:rPr>
            </w:pPr>
            <w:r>
              <w:rPr>
                <w:rFonts w:cs="Arial"/>
                <w:b/>
                <w:color w:val="000000"/>
                <w:u w:val="single"/>
              </w:rPr>
              <w:t>Guaranteed Level</w:t>
            </w:r>
          </w:p>
        </w:tc>
        <w:tc>
          <w:tcPr>
            <w:tcW w:w="3363" w:type="dxa"/>
            <w:tcBorders>
              <w:top w:val="single" w:color="auto" w:sz="8" w:space="0"/>
              <w:left w:val="nil"/>
              <w:bottom w:val="single" w:color="auto" w:sz="8" w:space="0"/>
              <w:right w:val="single" w:color="auto" w:sz="8" w:space="0"/>
            </w:tcBorders>
            <w:vAlign w:val="center"/>
          </w:tcPr>
          <w:p w:rsidR="0079779A" w:rsidRDefault="003E5439" w14:paraId="4A8A55BA" w14:textId="77777777">
            <w:pPr>
              <w:jc w:val="center"/>
              <w:rPr>
                <w:rFonts w:cs="Arial"/>
                <w:b/>
                <w:color w:val="000000"/>
                <w:u w:val="single"/>
              </w:rPr>
            </w:pPr>
            <w:r>
              <w:rPr>
                <w:rFonts w:cs="Arial"/>
                <w:b/>
                <w:color w:val="000000"/>
                <w:u w:val="single"/>
              </w:rPr>
              <w:t>Point of Measurement</w:t>
            </w:r>
          </w:p>
        </w:tc>
      </w:tr>
      <w:tr w:rsidR="0079779A" w14:paraId="2C796990" w14:textId="77777777">
        <w:trPr>
          <w:trHeight w:val="624"/>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19817FE0" w14:textId="77777777">
            <w:pPr>
              <w:jc w:val="center"/>
              <w:rPr>
                <w:rFonts w:cs="Arial"/>
                <w:color w:val="000000"/>
              </w:rPr>
            </w:pPr>
            <w:r>
              <w:rPr>
                <w:rFonts w:cs="Arial"/>
                <w:color w:val="000000"/>
              </w:rPr>
              <w:t>Guaranteed Storage Capacity</w:t>
            </w:r>
          </w:p>
        </w:tc>
        <w:tc>
          <w:tcPr>
            <w:tcW w:w="336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18137950" w14:textId="77777777">
            <w:pPr>
              <w:jc w:val="center"/>
              <w:rPr>
                <w:rFonts w:cs="Arial"/>
                <w:color w:val="000000"/>
              </w:rPr>
            </w:pPr>
            <w:r>
              <w:rPr>
                <w:rFonts w:cs="Arial"/>
                <w:color w:val="000000"/>
              </w:rPr>
              <w:t>[</w:t>
            </w:r>
            <w:r>
              <w:rPr>
                <w:rFonts w:cs="Arial"/>
                <w:color w:val="000000"/>
                <w:highlight w:val="yellow"/>
              </w:rPr>
              <w:t>__</w:t>
            </w:r>
            <w:r>
              <w:rPr>
                <w:rFonts w:cs="Arial"/>
                <w:color w:val="000000"/>
              </w:rPr>
              <w:t>] MWh</w:t>
            </w:r>
          </w:p>
        </w:tc>
        <w:tc>
          <w:tcPr>
            <w:tcW w:w="3363" w:type="dxa"/>
            <w:tcBorders>
              <w:top w:val="single" w:color="auto" w:sz="8" w:space="0"/>
              <w:left w:val="nil"/>
              <w:bottom w:val="single" w:color="auto" w:sz="8" w:space="0"/>
              <w:right w:val="single" w:color="auto" w:sz="8" w:space="0"/>
            </w:tcBorders>
            <w:vAlign w:val="center"/>
          </w:tcPr>
          <w:p w:rsidR="0079779A" w:rsidRDefault="003E5439" w14:paraId="3E21A9BC" w14:textId="77777777">
            <w:pPr>
              <w:jc w:val="center"/>
              <w:rPr>
                <w:rFonts w:cs="Arial"/>
                <w:color w:val="000000"/>
              </w:rPr>
            </w:pPr>
            <w:r>
              <w:rPr>
                <w:rFonts w:cs="Arial"/>
                <w:color w:val="000000"/>
              </w:rPr>
              <w:t>Point of Delivery</w:t>
            </w:r>
          </w:p>
        </w:tc>
      </w:tr>
      <w:tr w:rsidR="0079779A" w14:paraId="7C3E3098"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48D3921A" w14:textId="77777777">
            <w:pPr>
              <w:jc w:val="center"/>
              <w:rPr>
                <w:rFonts w:cs="Arial"/>
                <w:color w:val="000000"/>
              </w:rPr>
            </w:pPr>
            <w:r>
              <w:rPr>
                <w:rFonts w:cs="Arial"/>
                <w:color w:val="000000"/>
              </w:rPr>
              <w:t>Self-Discharge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7798D2A6" w14:textId="77777777">
            <w:pPr>
              <w:jc w:val="center"/>
              <w:rPr>
                <w:rFonts w:cs="Arial"/>
                <w:color w:val="000000"/>
              </w:rPr>
            </w:pPr>
            <w:r>
              <w:rPr>
                <w:rFonts w:cs="Arial"/>
                <w:color w:val="000000"/>
              </w:rPr>
              <w:t>[</w:t>
            </w:r>
            <w:r>
              <w:rPr>
                <w:rFonts w:cs="Arial"/>
                <w:color w:val="000000"/>
                <w:highlight w:val="yellow"/>
              </w:rPr>
              <w:t>__</w:t>
            </w:r>
            <w:r>
              <w:rPr>
                <w:rFonts w:cs="Arial"/>
                <w:color w:val="000000"/>
              </w:rPr>
              <w:t>]/month</w:t>
            </w:r>
          </w:p>
        </w:tc>
        <w:tc>
          <w:tcPr>
            <w:tcW w:w="3363" w:type="dxa"/>
            <w:tcBorders>
              <w:top w:val="nil"/>
              <w:left w:val="nil"/>
              <w:bottom w:val="single" w:color="auto" w:sz="8" w:space="0"/>
              <w:right w:val="single" w:color="auto" w:sz="8" w:space="0"/>
            </w:tcBorders>
          </w:tcPr>
          <w:p w:rsidR="0079779A" w:rsidRDefault="003E5439" w14:paraId="3CD61707" w14:textId="77777777">
            <w:pPr>
              <w:jc w:val="center"/>
            </w:pPr>
            <w:r>
              <w:rPr>
                <w:rFonts w:cs="Arial"/>
                <w:color w:val="000000"/>
              </w:rPr>
              <w:t>Point of Delivery</w:t>
            </w:r>
          </w:p>
        </w:tc>
      </w:tr>
      <w:tr w:rsidR="0079779A" w14:paraId="38895EB4"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78DB3B3D" w14:textId="77777777">
            <w:pPr>
              <w:jc w:val="center"/>
              <w:rPr>
                <w:rFonts w:cs="Arial"/>
                <w:color w:val="000000"/>
              </w:rPr>
            </w:pPr>
            <w:r>
              <w:rPr>
                <w:rFonts w:cs="Arial"/>
                <w:color w:val="000000"/>
              </w:rPr>
              <w:t>Guaranteed Minimum Charging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0D7C9577" w14:textId="77777777">
            <w:pPr>
              <w:jc w:val="center"/>
              <w:rPr>
                <w:rFonts w:cs="Arial"/>
                <w:color w:val="000000"/>
              </w:rPr>
            </w:pPr>
            <w:r>
              <w:rPr>
                <w:rFonts w:cs="Arial"/>
                <w:color w:val="000000"/>
              </w:rPr>
              <w:t>Storage Capacity in MWh/ [</w:t>
            </w:r>
            <w:r>
              <w:rPr>
                <w:rFonts w:cs="Arial"/>
                <w:color w:val="000000"/>
                <w:highlight w:val="yellow"/>
              </w:rPr>
              <w:t>__</w:t>
            </w:r>
            <w:r>
              <w:rPr>
                <w:rFonts w:cs="Arial"/>
                <w:color w:val="000000"/>
              </w:rPr>
              <w:t>] MW /RTE plus [</w:t>
            </w:r>
            <w:r>
              <w:rPr>
                <w:rFonts w:cs="Arial"/>
                <w:color w:val="000000"/>
                <w:highlight w:val="yellow"/>
              </w:rPr>
              <w:t>__</w:t>
            </w:r>
            <w:r>
              <w:rPr>
                <w:rFonts w:cs="Arial"/>
                <w:color w:val="000000"/>
              </w:rPr>
              <w:t>] minutes (At Maximum Charging Rate)</w:t>
            </w:r>
          </w:p>
        </w:tc>
        <w:tc>
          <w:tcPr>
            <w:tcW w:w="3363" w:type="dxa"/>
            <w:tcBorders>
              <w:top w:val="nil"/>
              <w:left w:val="nil"/>
              <w:bottom w:val="single" w:color="auto" w:sz="8" w:space="0"/>
              <w:right w:val="single" w:color="auto" w:sz="8" w:space="0"/>
            </w:tcBorders>
          </w:tcPr>
          <w:p w:rsidR="0079779A" w:rsidRDefault="003E5439" w14:paraId="7F7EA4E8" w14:textId="77777777">
            <w:pPr>
              <w:jc w:val="center"/>
            </w:pPr>
            <w:r>
              <w:rPr>
                <w:rFonts w:cs="Arial"/>
                <w:color w:val="000000"/>
              </w:rPr>
              <w:t>Point of Delivery</w:t>
            </w:r>
          </w:p>
        </w:tc>
      </w:tr>
      <w:tr w:rsidR="0079779A" w14:paraId="254DE3F7"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0902F423" w14:textId="77777777">
            <w:pPr>
              <w:jc w:val="center"/>
              <w:rPr>
                <w:rFonts w:cs="Arial"/>
                <w:color w:val="000000"/>
              </w:rPr>
            </w:pPr>
            <w:r>
              <w:rPr>
                <w:rFonts w:cs="Arial"/>
                <w:color w:val="000000"/>
              </w:rPr>
              <w:t>Guaranteed Maximum Charging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515CA6E6" w14:textId="77777777">
            <w:pPr>
              <w:jc w:val="center"/>
              <w:rPr>
                <w:rFonts w:cs="Arial"/>
                <w:color w:val="000000"/>
              </w:rPr>
            </w:pPr>
            <w:r>
              <w:rPr>
                <w:rFonts w:cs="Arial"/>
                <w:color w:val="000000"/>
              </w:rPr>
              <w:t>[</w:t>
            </w:r>
            <w:r>
              <w:rPr>
                <w:rFonts w:cs="Arial"/>
                <w:color w:val="000000"/>
                <w:highlight w:val="yellow"/>
              </w:rPr>
              <w:t>__</w:t>
            </w:r>
            <w:r>
              <w:rPr>
                <w:rFonts w:cs="Arial"/>
                <w:color w:val="000000"/>
              </w:rPr>
              <w:t>] MW</w:t>
            </w:r>
          </w:p>
        </w:tc>
        <w:tc>
          <w:tcPr>
            <w:tcW w:w="3363" w:type="dxa"/>
            <w:tcBorders>
              <w:top w:val="nil"/>
              <w:left w:val="nil"/>
              <w:bottom w:val="single" w:color="auto" w:sz="8" w:space="0"/>
              <w:right w:val="single" w:color="auto" w:sz="8" w:space="0"/>
            </w:tcBorders>
          </w:tcPr>
          <w:p w:rsidR="0079779A" w:rsidRDefault="003E5439" w14:paraId="6A7BAAA1" w14:textId="77777777">
            <w:pPr>
              <w:jc w:val="center"/>
            </w:pPr>
            <w:r>
              <w:rPr>
                <w:rFonts w:cs="Arial"/>
                <w:color w:val="000000"/>
              </w:rPr>
              <w:t>Point of Delivery</w:t>
            </w:r>
          </w:p>
        </w:tc>
      </w:tr>
      <w:tr w:rsidR="0079779A" w14:paraId="226DE57A"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382F4FC6" w14:textId="77777777">
            <w:pPr>
              <w:jc w:val="center"/>
              <w:rPr>
                <w:rFonts w:cs="Arial"/>
                <w:color w:val="000000"/>
              </w:rPr>
            </w:pPr>
            <w:r>
              <w:rPr>
                <w:rFonts w:cs="Arial"/>
                <w:color w:val="000000"/>
              </w:rPr>
              <w:t>Guaranteed Minimum Discharging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0A143EFE" w14:textId="77777777">
            <w:pPr>
              <w:jc w:val="center"/>
              <w:rPr>
                <w:rFonts w:cs="Arial"/>
                <w:color w:val="000000"/>
              </w:rPr>
            </w:pPr>
            <w:r>
              <w:rPr>
                <w:rFonts w:cs="Arial"/>
                <w:color w:val="000000"/>
              </w:rPr>
              <w:t>Storage Capacity / [</w:t>
            </w:r>
            <w:r>
              <w:rPr>
                <w:rFonts w:cs="Arial"/>
                <w:color w:val="000000"/>
                <w:highlight w:val="yellow"/>
              </w:rPr>
              <w:t>__</w:t>
            </w:r>
            <w:r>
              <w:rPr>
                <w:rFonts w:cs="Arial"/>
                <w:color w:val="000000"/>
              </w:rPr>
              <w:t xml:space="preserve">] </w:t>
            </w:r>
            <w:proofErr w:type="gramStart"/>
            <w:r>
              <w:rPr>
                <w:rFonts w:cs="Arial"/>
                <w:color w:val="000000"/>
              </w:rPr>
              <w:t>MW  hours</w:t>
            </w:r>
            <w:proofErr w:type="gramEnd"/>
            <w:r>
              <w:rPr>
                <w:rFonts w:cs="Arial"/>
                <w:color w:val="000000"/>
              </w:rPr>
              <w:t xml:space="preserve"> plus [</w:t>
            </w:r>
            <w:r>
              <w:rPr>
                <w:rFonts w:cs="Arial"/>
                <w:color w:val="000000"/>
                <w:highlight w:val="yellow"/>
              </w:rPr>
              <w:t>__</w:t>
            </w:r>
            <w:r>
              <w:rPr>
                <w:rFonts w:cs="Arial"/>
                <w:color w:val="000000"/>
              </w:rPr>
              <w:t>] minutes</w:t>
            </w:r>
          </w:p>
        </w:tc>
        <w:tc>
          <w:tcPr>
            <w:tcW w:w="3363" w:type="dxa"/>
            <w:tcBorders>
              <w:top w:val="nil"/>
              <w:left w:val="nil"/>
              <w:bottom w:val="single" w:color="auto" w:sz="8" w:space="0"/>
              <w:right w:val="single" w:color="auto" w:sz="8" w:space="0"/>
            </w:tcBorders>
          </w:tcPr>
          <w:p w:rsidR="0079779A" w:rsidRDefault="003E5439" w14:paraId="45C14481" w14:textId="77777777">
            <w:pPr>
              <w:jc w:val="center"/>
            </w:pPr>
            <w:r>
              <w:rPr>
                <w:rFonts w:cs="Arial"/>
                <w:color w:val="000000"/>
              </w:rPr>
              <w:t>Point of Delivery</w:t>
            </w:r>
          </w:p>
        </w:tc>
      </w:tr>
      <w:tr w:rsidR="0079779A" w14:paraId="7805B00B" w14:textId="77777777">
        <w:trPr>
          <w:trHeight w:val="624"/>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6D094046" w14:textId="77777777">
            <w:pPr>
              <w:jc w:val="center"/>
              <w:rPr>
                <w:rFonts w:cs="Arial"/>
                <w:color w:val="000000"/>
              </w:rPr>
            </w:pPr>
            <w:r>
              <w:rPr>
                <w:rFonts w:cs="Arial"/>
                <w:color w:val="000000"/>
              </w:rPr>
              <w:t>Guaranteed Maximum Discharging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16F3BE29" w14:textId="77777777">
            <w:pPr>
              <w:jc w:val="center"/>
              <w:rPr>
                <w:rFonts w:cs="Arial"/>
                <w:color w:val="000000"/>
              </w:rPr>
            </w:pPr>
            <w:r>
              <w:rPr>
                <w:rFonts w:cs="Arial"/>
                <w:color w:val="000000"/>
              </w:rPr>
              <w:t>[</w:t>
            </w:r>
            <w:r>
              <w:rPr>
                <w:rFonts w:cs="Arial"/>
                <w:color w:val="000000"/>
                <w:highlight w:val="yellow"/>
              </w:rPr>
              <w:t>__</w:t>
            </w:r>
            <w:r>
              <w:rPr>
                <w:rFonts w:cs="Arial"/>
                <w:color w:val="000000"/>
              </w:rPr>
              <w:t>] MW</w:t>
            </w:r>
          </w:p>
        </w:tc>
        <w:tc>
          <w:tcPr>
            <w:tcW w:w="3363" w:type="dxa"/>
            <w:tcBorders>
              <w:top w:val="nil"/>
              <w:left w:val="nil"/>
              <w:bottom w:val="single" w:color="auto" w:sz="8" w:space="0"/>
              <w:right w:val="single" w:color="auto" w:sz="8" w:space="0"/>
            </w:tcBorders>
          </w:tcPr>
          <w:p w:rsidR="0079779A" w:rsidRDefault="003E5439" w14:paraId="1FD2E0C5" w14:textId="77777777">
            <w:pPr>
              <w:jc w:val="center"/>
            </w:pPr>
            <w:r>
              <w:rPr>
                <w:rFonts w:cs="Arial"/>
                <w:color w:val="000000"/>
              </w:rPr>
              <w:t>Point of Delivery</w:t>
            </w:r>
          </w:p>
        </w:tc>
      </w:tr>
      <w:tr w:rsidR="0079779A" w14:paraId="6D825DD9"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0D3F84F8" w14:textId="77777777">
            <w:pPr>
              <w:jc w:val="center"/>
              <w:rPr>
                <w:rFonts w:cs="Arial"/>
                <w:color w:val="000000"/>
              </w:rPr>
            </w:pPr>
            <w:r>
              <w:rPr>
                <w:rFonts w:cs="Arial"/>
                <w:color w:val="000000"/>
              </w:rPr>
              <w:t>Maximum Ramp Rate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58DCD205" w14:textId="77777777">
            <w:pPr>
              <w:jc w:val="center"/>
              <w:rPr>
                <w:rFonts w:cs="Arial"/>
                <w:color w:val="000000"/>
              </w:rPr>
            </w:pPr>
            <w:r>
              <w:rPr>
                <w:rFonts w:cs="Arial"/>
                <w:color w:val="000000"/>
              </w:rPr>
              <w:t>[</w:t>
            </w:r>
            <w:r>
              <w:rPr>
                <w:rFonts w:cs="Arial"/>
                <w:color w:val="000000"/>
                <w:highlight w:val="yellow"/>
              </w:rPr>
              <w:t>__</w:t>
            </w:r>
            <w:r>
              <w:rPr>
                <w:rFonts w:cs="Arial"/>
                <w:color w:val="000000"/>
              </w:rPr>
              <w:t>] MW/second</w:t>
            </w:r>
          </w:p>
        </w:tc>
        <w:tc>
          <w:tcPr>
            <w:tcW w:w="3363" w:type="dxa"/>
            <w:tcBorders>
              <w:top w:val="nil"/>
              <w:left w:val="nil"/>
              <w:bottom w:val="single" w:color="auto" w:sz="8" w:space="0"/>
              <w:right w:val="single" w:color="auto" w:sz="8" w:space="0"/>
            </w:tcBorders>
          </w:tcPr>
          <w:p w:rsidR="0079779A" w:rsidRDefault="003E5439" w14:paraId="2A71DEF0" w14:textId="77777777">
            <w:pPr>
              <w:jc w:val="center"/>
            </w:pPr>
            <w:r>
              <w:rPr>
                <w:rFonts w:cs="Arial"/>
                <w:color w:val="000000"/>
              </w:rPr>
              <w:t>Point of Delivery</w:t>
            </w:r>
          </w:p>
        </w:tc>
      </w:tr>
      <w:tr w:rsidR="0079779A" w14:paraId="3B8D7436" w14:textId="77777777">
        <w:trPr>
          <w:trHeight w:val="312"/>
        </w:trPr>
        <w:tc>
          <w:tcPr>
            <w:tcW w:w="336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hideMark/>
          </w:tcPr>
          <w:p w:rsidR="0079779A" w:rsidRDefault="003E5439" w14:paraId="3D5744AB" w14:textId="77777777">
            <w:pPr>
              <w:jc w:val="center"/>
              <w:rPr>
                <w:rFonts w:cs="Arial"/>
                <w:color w:val="000000"/>
              </w:rPr>
            </w:pPr>
            <w:r>
              <w:rPr>
                <w:rFonts w:cs="Arial"/>
                <w:color w:val="000000"/>
              </w:rPr>
              <w:t>Guaranteed Response Time</w:t>
            </w:r>
          </w:p>
        </w:tc>
        <w:tc>
          <w:tcPr>
            <w:tcW w:w="3363" w:type="dxa"/>
            <w:tcBorders>
              <w:top w:val="nil"/>
              <w:left w:val="nil"/>
              <w:bottom w:val="single" w:color="auto" w:sz="8" w:space="0"/>
              <w:right w:val="single" w:color="auto" w:sz="8" w:space="0"/>
            </w:tcBorders>
            <w:tcMar>
              <w:top w:w="0" w:type="dxa"/>
              <w:left w:w="108" w:type="dxa"/>
              <w:bottom w:w="0" w:type="dxa"/>
              <w:right w:w="108" w:type="dxa"/>
            </w:tcMar>
            <w:vAlign w:val="center"/>
            <w:hideMark/>
          </w:tcPr>
          <w:p w:rsidR="0079779A" w:rsidRDefault="003E5439" w14:paraId="57F23141" w14:textId="77777777">
            <w:pPr>
              <w:jc w:val="center"/>
              <w:rPr>
                <w:rFonts w:cs="Arial"/>
                <w:color w:val="000000"/>
              </w:rPr>
            </w:pPr>
            <w:r>
              <w:rPr>
                <w:rFonts w:cs="Arial"/>
                <w:color w:val="000000"/>
              </w:rPr>
              <w:t>[</w:t>
            </w:r>
            <w:r>
              <w:rPr>
                <w:rFonts w:cs="Arial"/>
                <w:color w:val="000000"/>
                <w:highlight w:val="yellow"/>
              </w:rPr>
              <w:t>__</w:t>
            </w:r>
            <w:r>
              <w:rPr>
                <w:rFonts w:cs="Arial"/>
                <w:color w:val="000000"/>
              </w:rPr>
              <w:t>] seconds</w:t>
            </w:r>
          </w:p>
        </w:tc>
        <w:tc>
          <w:tcPr>
            <w:tcW w:w="3363" w:type="dxa"/>
            <w:tcBorders>
              <w:top w:val="nil"/>
              <w:left w:val="nil"/>
              <w:bottom w:val="single" w:color="auto" w:sz="8" w:space="0"/>
              <w:right w:val="single" w:color="auto" w:sz="8" w:space="0"/>
            </w:tcBorders>
          </w:tcPr>
          <w:p w:rsidR="0079779A" w:rsidRDefault="003E5439" w14:paraId="0158825A" w14:textId="77777777">
            <w:pPr>
              <w:jc w:val="center"/>
            </w:pPr>
            <w:r>
              <w:rPr>
                <w:rFonts w:cs="Arial"/>
                <w:color w:val="000000"/>
              </w:rPr>
              <w:t>Point of Delivery</w:t>
            </w:r>
          </w:p>
        </w:tc>
      </w:tr>
      <w:tr w:rsidR="0079779A" w14:paraId="0045B557" w14:textId="77777777">
        <w:trPr>
          <w:trHeight w:val="312"/>
        </w:trPr>
        <w:tc>
          <w:tcPr>
            <w:tcW w:w="336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0079779A" w:rsidRDefault="003E5439" w14:paraId="3CB01A54" w14:textId="77777777">
            <w:pPr>
              <w:jc w:val="center"/>
              <w:rPr>
                <w:rFonts w:cs="Arial"/>
                <w:color w:val="000000"/>
              </w:rPr>
            </w:pPr>
            <w:r>
              <w:rPr>
                <w:rFonts w:cs="Arial"/>
                <w:color w:val="000000"/>
              </w:rPr>
              <w:t>Grid Charging Capability (During COD Test)</w:t>
            </w:r>
          </w:p>
        </w:tc>
        <w:tc>
          <w:tcPr>
            <w:tcW w:w="33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rsidR="0079779A" w:rsidRDefault="003E5439" w14:paraId="4AEEDE3C" w14:textId="77777777">
            <w:pPr>
              <w:jc w:val="center"/>
              <w:rPr>
                <w:rFonts w:cs="Arial"/>
                <w:color w:val="000000"/>
              </w:rPr>
            </w:pPr>
            <w:r>
              <w:rPr>
                <w:rFonts w:cs="Arial"/>
                <w:color w:val="000000"/>
              </w:rPr>
              <w:t>Pass</w:t>
            </w:r>
          </w:p>
        </w:tc>
        <w:tc>
          <w:tcPr>
            <w:tcW w:w="3363" w:type="dxa"/>
            <w:tcBorders>
              <w:top w:val="single" w:color="auto" w:sz="8" w:space="0"/>
              <w:left w:val="single" w:color="auto" w:sz="8" w:space="0"/>
              <w:bottom w:val="single" w:color="auto" w:sz="8" w:space="0"/>
              <w:right w:val="single" w:color="auto" w:sz="8" w:space="0"/>
            </w:tcBorders>
          </w:tcPr>
          <w:p w:rsidR="0079779A" w:rsidRDefault="003E5439" w14:paraId="48D075D8" w14:textId="77777777">
            <w:pPr>
              <w:jc w:val="center"/>
            </w:pPr>
            <w:r>
              <w:rPr>
                <w:rFonts w:cs="Arial"/>
                <w:color w:val="000000"/>
              </w:rPr>
              <w:t>Point of Delivery</w:t>
            </w:r>
          </w:p>
        </w:tc>
      </w:tr>
      <w:bookmarkEnd w:id="622"/>
    </w:tbl>
    <w:p w:rsidR="0079779A" w:rsidRDefault="0079779A" w14:paraId="0D4A843B" w14:textId="77777777">
      <w:pPr>
        <w:sectPr w:rsidR="0079779A">
          <w:footerReference w:type="default" r:id="rId49"/>
          <w:pgSz w:w="12240" w:h="15840" w:code="1"/>
          <w:pgMar w:top="1440" w:right="1440" w:bottom="1440" w:left="1440" w:header="720" w:footer="720" w:gutter="0"/>
          <w:pgNumType w:start="1"/>
          <w:cols w:space="720"/>
        </w:sectPr>
      </w:pPr>
    </w:p>
    <w:p w:rsidR="0079779A" w:rsidRDefault="003E5439" w14:paraId="7EBF72B2" w14:textId="77777777">
      <w:pPr>
        <w:pageBreakBefore/>
        <w:spacing w:after="120"/>
        <w:ind w:left="360"/>
        <w:jc w:val="center"/>
        <w:outlineLvl w:val="0"/>
        <w:rPr>
          <w:rFonts w:cs="Arial"/>
          <w:b/>
        </w:rPr>
      </w:pPr>
      <w:r>
        <w:rPr>
          <w:rFonts w:cs="Arial"/>
          <w:b/>
        </w:rPr>
        <w:lastRenderedPageBreak/>
        <w:t>EXHIBIT N</w:t>
      </w:r>
    </w:p>
    <w:p w:rsidR="0079779A" w:rsidRDefault="003E5439" w14:paraId="11A005C7" w14:textId="77777777">
      <w:pPr>
        <w:ind w:left="360"/>
        <w:jc w:val="center"/>
        <w:outlineLvl w:val="0"/>
        <w:rPr>
          <w:rFonts w:cs="Arial"/>
          <w:b/>
        </w:rPr>
      </w:pPr>
      <w:r>
        <w:rPr>
          <w:rFonts w:cs="Arial"/>
          <w:b/>
        </w:rPr>
        <w:t xml:space="preserve">RESERVED </w:t>
      </w:r>
    </w:p>
    <w:p w:rsidR="0079779A" w:rsidRDefault="0079779A" w14:paraId="430A55DF" w14:textId="77777777">
      <w:pPr>
        <w:spacing w:after="240"/>
        <w:jc w:val="both"/>
        <w:rPr>
          <w:rFonts w:cs="Arial"/>
        </w:rPr>
      </w:pPr>
    </w:p>
    <w:p w:rsidR="0079779A" w:rsidRDefault="0079779A" w14:paraId="7E8D16C9" w14:textId="77777777">
      <w:pPr>
        <w:spacing w:after="240"/>
        <w:jc w:val="center"/>
        <w:textAlignment w:val="baseline"/>
        <w:rPr>
          <w:rFonts w:eastAsia="Arial" w:cs="Arial"/>
          <w:color w:val="000000"/>
        </w:rPr>
      </w:pPr>
    </w:p>
    <w:p w:rsidR="0079779A" w:rsidRDefault="0079779A" w14:paraId="05B027DE" w14:textId="77777777">
      <w:pPr>
        <w:spacing w:after="240"/>
        <w:jc w:val="center"/>
        <w:textAlignment w:val="baseline"/>
        <w:rPr>
          <w:rFonts w:eastAsia="Arial" w:cs="Arial"/>
          <w:color w:val="000000"/>
        </w:rPr>
      </w:pPr>
    </w:p>
    <w:p w:rsidR="0079779A" w:rsidRDefault="0079779A" w14:paraId="51F61317" w14:textId="77777777">
      <w:pPr>
        <w:spacing w:after="240"/>
        <w:jc w:val="center"/>
        <w:textAlignment w:val="baseline"/>
        <w:rPr>
          <w:rFonts w:eastAsia="Arial" w:cs="Arial"/>
          <w:color w:val="000000"/>
        </w:rPr>
      </w:pPr>
    </w:p>
    <w:p w:rsidR="0079779A" w:rsidRDefault="0079779A" w14:paraId="68472FF8" w14:textId="77777777">
      <w:pPr>
        <w:spacing w:after="240"/>
        <w:jc w:val="center"/>
        <w:textAlignment w:val="baseline"/>
        <w:rPr>
          <w:rFonts w:eastAsia="Arial" w:cs="Arial"/>
          <w:color w:val="000000"/>
        </w:rPr>
      </w:pPr>
    </w:p>
    <w:p w:rsidR="0079779A" w:rsidRDefault="0079779A" w14:paraId="0E083C66" w14:textId="77777777">
      <w:pPr>
        <w:spacing w:after="240"/>
        <w:jc w:val="center"/>
        <w:textAlignment w:val="baseline"/>
        <w:rPr>
          <w:rFonts w:eastAsia="Arial" w:cs="Arial"/>
          <w:color w:val="000000"/>
        </w:rPr>
      </w:pPr>
    </w:p>
    <w:p w:rsidR="0079779A" w:rsidRDefault="003E5439" w14:paraId="6D01DFD5" w14:textId="77777777">
      <w:pPr>
        <w:spacing w:after="240"/>
        <w:jc w:val="center"/>
        <w:textAlignment w:val="baseline"/>
        <w:rPr>
          <w:rFonts w:eastAsia="Arial" w:cs="Arial"/>
          <w:color w:val="000000"/>
        </w:rPr>
        <w:sectPr w:rsidR="0079779A">
          <w:footerReference w:type="default" r:id="rId50"/>
          <w:pgSz w:w="12240" w:h="15840" w:code="1"/>
          <w:pgMar w:top="1440" w:right="1440" w:bottom="1440" w:left="1440" w:header="720" w:footer="720" w:gutter="0"/>
          <w:pgNumType w:start="1"/>
          <w:cols w:space="720"/>
        </w:sectPr>
      </w:pPr>
      <w:r>
        <w:rPr>
          <w:rFonts w:eastAsia="Arial" w:cs="Arial"/>
          <w:color w:val="000000"/>
        </w:rPr>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r>
        <w:rPr>
          <w:rFonts w:eastAsia="Arial" w:cs="Arial"/>
          <w:color w:val="000000"/>
        </w:rPr>
        <w:tab/>
      </w:r>
      <w:r>
        <w:rPr>
          <w:rFonts w:eastAsia="Arial" w:cs="Arial"/>
          <w:color w:val="000000"/>
        </w:rPr>
        <w:tab/>
        <w:t>*</w:t>
      </w:r>
    </w:p>
    <w:p w:rsidR="0079779A" w:rsidRDefault="003E5439" w14:paraId="7BF4D2DB" w14:textId="77777777">
      <w:pPr>
        <w:pageBreakBefore/>
        <w:spacing w:after="120"/>
        <w:ind w:left="360"/>
        <w:jc w:val="center"/>
        <w:outlineLvl w:val="0"/>
        <w:rPr>
          <w:rFonts w:cs="Arial"/>
          <w:b/>
        </w:rPr>
      </w:pPr>
      <w:r>
        <w:rPr>
          <w:rFonts w:cs="Arial"/>
          <w:b/>
        </w:rPr>
        <w:lastRenderedPageBreak/>
        <w:t>EXHIBIT O</w:t>
      </w:r>
    </w:p>
    <w:p w:rsidR="0079779A" w:rsidRDefault="0079779A" w14:paraId="7A4A0BB9" w14:textId="77777777">
      <w:pPr>
        <w:spacing w:after="120"/>
        <w:ind w:left="360"/>
        <w:jc w:val="center"/>
        <w:outlineLvl w:val="0"/>
        <w:rPr>
          <w:rFonts w:cs="Arial"/>
          <w:b/>
        </w:rPr>
      </w:pPr>
    </w:p>
    <w:p w:rsidR="0079779A" w:rsidRDefault="003E5439" w14:paraId="05B0B544" w14:textId="77777777">
      <w:pPr>
        <w:spacing w:after="240"/>
        <w:ind w:left="360"/>
        <w:jc w:val="center"/>
        <w:outlineLvl w:val="0"/>
        <w:rPr>
          <w:rFonts w:cs="Arial"/>
          <w:b/>
        </w:rPr>
      </w:pPr>
      <w:r>
        <w:rPr>
          <w:rFonts w:cs="Arial"/>
          <w:b/>
        </w:rPr>
        <w:t>BATTERY STORAGE SYSTEM OPERATING PROCEDURES</w:t>
      </w:r>
    </w:p>
    <w:p w:rsidR="0079779A" w:rsidRDefault="003E5439" w14:paraId="6726AB52" w14:textId="77777777">
      <w:pPr>
        <w:autoSpaceDE w:val="0"/>
        <w:autoSpaceDN w:val="0"/>
        <w:adjustRightInd w:val="0"/>
        <w:ind w:firstLine="720"/>
        <w:rPr>
          <w:rFonts w:cs="Arial" w:eastAsiaTheme="minorEastAsia"/>
        </w:rPr>
      </w:pPr>
      <w:r>
        <w:rPr>
          <w:rFonts w:cs="Arial" w:eastAsiaTheme="minorEastAsia"/>
        </w:rPr>
        <w:t xml:space="preserve">The Battery Storage System Operating Procedures will include the provisions set forth in this </w:t>
      </w:r>
      <w:r>
        <w:rPr>
          <w:u w:val="single"/>
        </w:rPr>
        <w:t>Exhibit O – Battery Storage System Operating Procedures</w:t>
      </w:r>
      <w:r>
        <w:rPr>
          <w:rFonts w:cs="Arial" w:eastAsiaTheme="minorEastAsia"/>
        </w:rPr>
        <w:t xml:space="preserve">.  No later than 90 days prior to the Commercial Operation Date, the Operating Committee shall develop the Battery Storage System Operating Procedures in accordance with </w:t>
      </w:r>
      <w:r>
        <w:rPr>
          <w:rFonts w:cs="Arial" w:eastAsiaTheme="minorEastAsia"/>
          <w:u w:val="single"/>
        </w:rPr>
        <w:t>Section 10.8</w:t>
      </w:r>
      <w:r>
        <w:rPr>
          <w:rFonts w:cs="Arial" w:eastAsiaTheme="minorEastAsia"/>
        </w:rPr>
        <w:t>.  The Battery Storage System Operating Procedures can be reviewed annually (date and time to be mutually agreed) to optimize operations for both Parties. Parties shall cooperate to integrate the systems and controls necessary to implement the Battery Storage System Operating Procedures.</w:t>
      </w:r>
    </w:p>
    <w:p w:rsidR="0079779A" w:rsidRDefault="0079779A" w14:paraId="51875CC7" w14:textId="77777777">
      <w:pPr>
        <w:autoSpaceDE w:val="0"/>
        <w:autoSpaceDN w:val="0"/>
        <w:adjustRightInd w:val="0"/>
        <w:ind w:firstLine="720"/>
        <w:rPr>
          <w:rFonts w:cs="Arial" w:eastAsiaTheme="minorEastAsia"/>
        </w:rPr>
      </w:pPr>
    </w:p>
    <w:p w:rsidR="0079779A" w:rsidRDefault="003E5439" w14:paraId="50FF1F06" w14:textId="77777777">
      <w:pPr>
        <w:numPr>
          <w:ilvl w:val="0"/>
          <w:numId w:val="58"/>
        </w:numPr>
        <w:autoSpaceDE w:val="0"/>
        <w:autoSpaceDN w:val="0"/>
        <w:adjustRightInd w:val="0"/>
        <w:spacing w:after="200" w:line="276" w:lineRule="auto"/>
        <w:contextualSpacing/>
        <w:rPr>
          <w:rFonts w:cs="Arial" w:eastAsiaTheme="minorEastAsia"/>
          <w:u w:val="single"/>
        </w:rPr>
      </w:pPr>
      <w:r>
        <w:rPr>
          <w:rFonts w:cs="Arial" w:eastAsiaTheme="minorEastAsia"/>
          <w:u w:val="single"/>
        </w:rPr>
        <w:t>Operational Limitations</w:t>
      </w:r>
      <w:r>
        <w:rPr>
          <w:rFonts w:cs="Arial" w:eastAsiaTheme="minorEastAsia"/>
        </w:rPr>
        <w:t xml:space="preserve">: </w:t>
      </w:r>
    </w:p>
    <w:p w:rsidR="0079779A" w:rsidRDefault="0079779A" w14:paraId="66561620" w14:textId="77777777">
      <w:pPr>
        <w:autoSpaceDE w:val="0"/>
        <w:autoSpaceDN w:val="0"/>
        <w:adjustRightInd w:val="0"/>
        <w:ind w:firstLine="720"/>
        <w:rPr>
          <w:rFonts w:cs="Arial" w:eastAsiaTheme="minorEastAsia"/>
        </w:rPr>
      </w:pPr>
    </w:p>
    <w:p w:rsidR="0079779A" w:rsidRDefault="003E5439" w14:paraId="0F9BA783" w14:textId="77777777">
      <w:pPr>
        <w:autoSpaceDE w:val="0"/>
        <w:autoSpaceDN w:val="0"/>
        <w:adjustRightInd w:val="0"/>
        <w:ind w:firstLine="720"/>
        <w:rPr>
          <w:rFonts w:cs="Arial" w:eastAsiaTheme="minorEastAsia"/>
        </w:rPr>
      </w:pPr>
      <w:r>
        <w:rPr>
          <w:rFonts w:cs="Arial" w:eastAsiaTheme="minorEastAsia"/>
        </w:rPr>
        <w:t>The operation of the Battery Storage System shall be subject to the following limitations:  If the year-to-date average State of Charge exceeds [</w:t>
      </w:r>
      <w:proofErr w:type="gramStart"/>
      <w:r>
        <w:rPr>
          <w:rFonts w:cs="Arial" w:eastAsiaTheme="minorEastAsia"/>
          <w:highlight w:val="yellow"/>
        </w:rPr>
        <w:t>50</w:t>
      </w:r>
      <w:r>
        <w:rPr>
          <w:rFonts w:cs="Arial" w:eastAsiaTheme="minorEastAsia"/>
        </w:rPr>
        <w:t>]%</w:t>
      </w:r>
      <w:proofErr w:type="gramEnd"/>
      <w:r>
        <w:rPr>
          <w:rFonts w:cs="Arial" w:eastAsiaTheme="minorEastAsia"/>
        </w:rPr>
        <w:t xml:space="preserve"> at any time during the second half of a Commercial Operation Year, then the maximum allowed State of Charge shall be limited to the State of Charge that, if held for the rest of the Commercial Operation Year, would equal an annual averaged State of Charge of [</w:t>
      </w:r>
      <w:r>
        <w:rPr>
          <w:rFonts w:cs="Arial" w:eastAsiaTheme="minorEastAsia"/>
          <w:highlight w:val="yellow"/>
        </w:rPr>
        <w:t>50</w:t>
      </w:r>
      <w:r>
        <w:rPr>
          <w:rFonts w:cs="Arial" w:eastAsiaTheme="minorEastAsia"/>
        </w:rPr>
        <w:t>]%. If the allowable State of Charge has been limited, the State of Charge limitation will be released once the year-to-date State of Charge is less than [</w:t>
      </w:r>
      <w:proofErr w:type="gramStart"/>
      <w:r>
        <w:rPr>
          <w:rFonts w:cs="Arial" w:eastAsiaTheme="minorEastAsia"/>
          <w:highlight w:val="yellow"/>
        </w:rPr>
        <w:t>45</w:t>
      </w:r>
      <w:r>
        <w:rPr>
          <w:rFonts w:cs="Arial" w:eastAsiaTheme="minorEastAsia"/>
        </w:rPr>
        <w:t>]%</w:t>
      </w:r>
      <w:proofErr w:type="gramEnd"/>
      <w:r>
        <w:rPr>
          <w:rFonts w:cs="Arial" w:eastAsiaTheme="minorEastAsia"/>
        </w:rPr>
        <w:t>.</w:t>
      </w:r>
    </w:p>
    <w:p w:rsidR="0079779A" w:rsidRDefault="0079779A" w14:paraId="617616EB" w14:textId="77777777">
      <w:pPr>
        <w:autoSpaceDE w:val="0"/>
        <w:autoSpaceDN w:val="0"/>
        <w:adjustRightInd w:val="0"/>
        <w:ind w:left="1440"/>
        <w:rPr>
          <w:rFonts w:cs="Arial" w:eastAsiaTheme="minorEastAsia"/>
        </w:rPr>
      </w:pPr>
    </w:p>
    <w:p w:rsidR="0079779A" w:rsidRDefault="0079779A" w14:paraId="0A5A1668" w14:textId="77777777">
      <w:pPr>
        <w:rPr>
          <w:rFonts w:cs="Arial" w:eastAsiaTheme="minorEastAsia"/>
        </w:rPr>
      </w:pPr>
    </w:p>
    <w:p w:rsidR="0079779A" w:rsidRDefault="003E5439" w14:paraId="3D1A4FE0" w14:textId="77777777">
      <w:pPr>
        <w:numPr>
          <w:ilvl w:val="0"/>
          <w:numId w:val="58"/>
        </w:numPr>
        <w:autoSpaceDE w:val="0"/>
        <w:autoSpaceDN w:val="0"/>
        <w:adjustRightInd w:val="0"/>
        <w:spacing w:after="200" w:line="276" w:lineRule="auto"/>
        <w:contextualSpacing/>
        <w:rPr>
          <w:rFonts w:cs="Arial" w:eastAsiaTheme="minorEastAsia"/>
          <w:u w:val="single"/>
        </w:rPr>
      </w:pPr>
      <w:r>
        <w:rPr>
          <w:rFonts w:cs="Arial" w:eastAsiaTheme="minorEastAsia"/>
          <w:u w:val="single"/>
        </w:rPr>
        <w:t>Data Points to Be Sent from Seller to Company Via SCADA</w:t>
      </w:r>
    </w:p>
    <w:p w:rsidR="0079779A" w:rsidRDefault="0079779A" w14:paraId="357711C7" w14:textId="77777777">
      <w:pPr>
        <w:spacing w:after="240"/>
        <w:jc w:val="both"/>
        <w:rPr>
          <w:rFonts w:cs="Arial"/>
        </w:rPr>
      </w:pPr>
    </w:p>
    <w:p w:rsidR="0079779A" w:rsidRDefault="003E5439" w14:paraId="33F1CB1F" w14:textId="77777777">
      <w:pPr>
        <w:autoSpaceDE w:val="0"/>
        <w:autoSpaceDN w:val="0"/>
      </w:pPr>
      <w:r>
        <w:t>The following data points will be transmitted via SCADA from Seller to Company and represent energy storage level data:</w:t>
      </w:r>
    </w:p>
    <w:p w:rsidR="0079779A" w:rsidRDefault="0079779A" w14:paraId="5E0A3735" w14:textId="77777777">
      <w:pPr>
        <w:autoSpaceDE w:val="0"/>
        <w:autoSpaceDN w:val="0"/>
      </w:pPr>
    </w:p>
    <w:p w:rsidR="0079779A" w:rsidRDefault="003E5439" w14:paraId="48F4C904" w14:textId="77777777">
      <w:pPr>
        <w:keepNext/>
        <w:autoSpaceDE w:val="0"/>
        <w:autoSpaceDN w:val="0"/>
      </w:pPr>
      <w:r>
        <w:t>Table 1</w:t>
      </w:r>
    </w:p>
    <w:p w:rsidR="0079779A" w:rsidRDefault="0079779A" w14:paraId="71D07358" w14:textId="77777777">
      <w:pPr>
        <w:keepNext/>
        <w:autoSpaceDE w:val="0"/>
        <w:autoSpaceDN w:val="0"/>
      </w:pPr>
    </w:p>
    <w:tbl>
      <w:tblPr>
        <w:tblW w:w="0" w:type="auto"/>
        <w:jc w:val="center"/>
        <w:tblCellMar>
          <w:left w:w="0" w:type="dxa"/>
          <w:right w:w="0" w:type="dxa"/>
        </w:tblCellMar>
        <w:tblLook w:val="04A0" w:firstRow="1" w:lastRow="0" w:firstColumn="1" w:lastColumn="0" w:noHBand="0" w:noVBand="1"/>
      </w:tblPr>
      <w:tblGrid>
        <w:gridCol w:w="4711"/>
        <w:gridCol w:w="2019"/>
      </w:tblGrid>
      <w:tr w:rsidR="0079779A" w14:paraId="642011FA" w14:textId="77777777">
        <w:trPr>
          <w:trHeight w:val="226"/>
          <w:jc w:val="center"/>
        </w:trPr>
        <w:tc>
          <w:tcPr>
            <w:tcW w:w="6730"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64E5EF74" w14:textId="77777777">
            <w:pPr>
              <w:spacing w:line="252" w:lineRule="auto"/>
              <w:jc w:val="center"/>
              <w:rPr>
                <w:u w:val="single"/>
              </w:rPr>
            </w:pPr>
            <w:r>
              <w:rPr>
                <w:u w:val="single"/>
              </w:rPr>
              <w:t>Energy Storage</w:t>
            </w:r>
          </w:p>
        </w:tc>
      </w:tr>
      <w:tr w:rsidR="0079779A" w14:paraId="774F269C"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3D5E7FAF" w14:textId="77777777">
            <w:pPr>
              <w:spacing w:line="252" w:lineRule="auto"/>
              <w:jc w:val="center"/>
              <w:rPr>
                <w:u w:val="single"/>
              </w:rPr>
            </w:pPr>
            <w:r>
              <w:rPr>
                <w:u w:val="single"/>
              </w:rPr>
              <w:t>Description</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6D552A92" w14:textId="77777777">
            <w:pPr>
              <w:spacing w:line="252" w:lineRule="auto"/>
              <w:jc w:val="center"/>
              <w:rPr>
                <w:u w:val="single"/>
              </w:rPr>
            </w:pPr>
            <w:r>
              <w:rPr>
                <w:u w:val="single"/>
              </w:rPr>
              <w:t>Units</w:t>
            </w:r>
          </w:p>
        </w:tc>
      </w:tr>
      <w:tr w:rsidR="0079779A" w14:paraId="06C854CF"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32892D60" w14:textId="77777777">
            <w:pPr>
              <w:spacing w:line="252" w:lineRule="auto"/>
            </w:pPr>
            <w:r>
              <w:t>Real Power Set-Point (echo)</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539E9BB5" w14:textId="77777777">
            <w:pPr>
              <w:spacing w:line="252" w:lineRule="auto"/>
            </w:pPr>
            <w:r>
              <w:t>MW</w:t>
            </w:r>
          </w:p>
        </w:tc>
      </w:tr>
      <w:tr w:rsidR="0079779A" w14:paraId="7FAC779E"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4E6A4BCF" w14:textId="77777777">
            <w:pPr>
              <w:spacing w:line="252" w:lineRule="auto"/>
            </w:pPr>
            <w:r>
              <w:t>Actual Real Power</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5EEB3065" w14:textId="77777777">
            <w:pPr>
              <w:spacing w:line="252" w:lineRule="auto"/>
            </w:pPr>
            <w:r>
              <w:t>MW</w:t>
            </w:r>
          </w:p>
        </w:tc>
      </w:tr>
      <w:tr w:rsidR="0079779A" w14:paraId="4591B802" w14:textId="77777777">
        <w:trPr>
          <w:trHeight w:val="226"/>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1675DBF1" w14:textId="77777777">
            <w:pPr>
              <w:spacing w:line="252" w:lineRule="auto"/>
            </w:pPr>
            <w:r>
              <w:t>Actual Reactive Power</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428363A0" w14:textId="77777777">
            <w:pPr>
              <w:spacing w:line="252" w:lineRule="auto"/>
            </w:pPr>
            <w:proofErr w:type="spellStart"/>
            <w:r>
              <w:t>MVar</w:t>
            </w:r>
            <w:proofErr w:type="spellEnd"/>
          </w:p>
        </w:tc>
      </w:tr>
      <w:tr w:rsidR="0079779A" w14:paraId="33C0E721"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024CF820" w14:textId="77777777">
            <w:pPr>
              <w:spacing w:line="252" w:lineRule="auto"/>
            </w:pPr>
            <w:r>
              <w:t>Battery State of Charge</w:t>
            </w:r>
          </w:p>
        </w:tc>
        <w:tc>
          <w:tcPr>
            <w:tcW w:w="2019"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5DD79D78" w14:textId="77777777">
            <w:pPr>
              <w:spacing w:line="252" w:lineRule="auto"/>
            </w:pPr>
            <w:r>
              <w:t>% &amp; MWh</w:t>
            </w:r>
          </w:p>
        </w:tc>
      </w:tr>
      <w:tr w:rsidR="0079779A" w14:paraId="4D3A9FB9"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79779A" w:rsidRDefault="003E5439" w14:paraId="0A6FA200" w14:textId="77777777">
            <w:pPr>
              <w:spacing w:line="252" w:lineRule="auto"/>
            </w:pPr>
            <w:r>
              <w:t>Remaining Throughput (Commercial Operation Year)</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79779A" w:rsidRDefault="003E5439" w14:paraId="77A698A3" w14:textId="77777777">
            <w:pPr>
              <w:spacing w:line="252" w:lineRule="auto"/>
            </w:pPr>
            <w:r>
              <w:t>MWh</w:t>
            </w:r>
          </w:p>
        </w:tc>
      </w:tr>
      <w:tr w:rsidR="0079779A" w14:paraId="785DA92B"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79779A" w:rsidRDefault="003E5439" w14:paraId="5D0E5572" w14:textId="77777777">
            <w:pPr>
              <w:spacing w:line="252" w:lineRule="auto"/>
            </w:pPr>
            <w:r>
              <w:t>YTD Average SOC (Commercial Operation Year)</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79779A" w:rsidRDefault="003E5439" w14:paraId="09F0DD12" w14:textId="77777777">
            <w:pPr>
              <w:spacing w:line="252" w:lineRule="auto"/>
            </w:pPr>
            <w:r>
              <w:t>%</w:t>
            </w:r>
          </w:p>
        </w:tc>
      </w:tr>
      <w:tr w:rsidR="0079779A" w14:paraId="4FC856DD" w14:textId="77777777">
        <w:trPr>
          <w:trHeight w:val="280"/>
          <w:jc w:val="center"/>
        </w:trPr>
        <w:tc>
          <w:tcPr>
            <w:tcW w:w="4711"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79779A" w:rsidRDefault="003E5439" w14:paraId="3C2FC837" w14:textId="77777777">
            <w:pPr>
              <w:spacing w:line="252" w:lineRule="auto"/>
            </w:pPr>
            <w:r>
              <w:t>Maximum Allowable SOC</w:t>
            </w:r>
          </w:p>
        </w:tc>
        <w:tc>
          <w:tcPr>
            <w:tcW w:w="2019" w:type="dxa"/>
            <w:tcBorders>
              <w:top w:val="nil"/>
              <w:left w:val="nil"/>
              <w:bottom w:val="single" w:color="auto" w:sz="8" w:space="0"/>
              <w:right w:val="single" w:color="auto" w:sz="8" w:space="0"/>
            </w:tcBorders>
            <w:tcMar>
              <w:top w:w="0" w:type="dxa"/>
              <w:left w:w="108" w:type="dxa"/>
              <w:bottom w:w="0" w:type="dxa"/>
              <w:right w:w="108" w:type="dxa"/>
            </w:tcMar>
          </w:tcPr>
          <w:p w:rsidR="0079779A" w:rsidRDefault="003E5439" w14:paraId="1020A78C" w14:textId="77777777">
            <w:pPr>
              <w:spacing w:line="252" w:lineRule="auto"/>
            </w:pPr>
            <w:r>
              <w:t>MWh</w:t>
            </w:r>
          </w:p>
        </w:tc>
      </w:tr>
      <w:tr w:rsidR="0079779A" w14:paraId="27EDD397" w14:textId="77777777">
        <w:trPr>
          <w:trHeight w:val="226"/>
          <w:jc w:val="center"/>
        </w:trPr>
        <w:tc>
          <w:tcPr>
            <w:tcW w:w="47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53B92E2E" w14:textId="77777777">
            <w:pPr>
              <w:spacing w:line="252" w:lineRule="auto"/>
            </w:pPr>
            <w:r>
              <w:lastRenderedPageBreak/>
              <w:t>Additional Data Points Reserved for Future Use</w:t>
            </w:r>
          </w:p>
        </w:tc>
        <w:tc>
          <w:tcPr>
            <w:tcW w:w="2019" w:type="dxa"/>
            <w:tcBorders>
              <w:top w:val="single" w:color="auto" w:sz="8" w:space="0"/>
              <w:left w:val="nil"/>
              <w:bottom w:val="single" w:color="auto" w:sz="8" w:space="0"/>
              <w:right w:val="single" w:color="auto" w:sz="8" w:space="0"/>
            </w:tcBorders>
            <w:tcMar>
              <w:top w:w="0" w:type="dxa"/>
              <w:left w:w="108" w:type="dxa"/>
              <w:bottom w:w="0" w:type="dxa"/>
              <w:right w:w="108" w:type="dxa"/>
            </w:tcMar>
            <w:hideMark/>
          </w:tcPr>
          <w:p w:rsidR="0079779A" w:rsidRDefault="0079779A" w14:paraId="022D8902" w14:textId="77777777"/>
        </w:tc>
      </w:tr>
    </w:tbl>
    <w:p w:rsidR="0079779A" w:rsidRDefault="0079779A" w14:paraId="69DB14BB" w14:textId="77777777"/>
    <w:p w:rsidR="0079779A" w:rsidRDefault="003E5439" w14:paraId="14B748B7" w14:textId="77777777">
      <w:pPr>
        <w:autoSpaceDE w:val="0"/>
        <w:autoSpaceDN w:val="0"/>
      </w:pPr>
      <w:r>
        <w:t>The following data points will be transmitted via SCADA from Company to Seller and represent energy storage level data:</w:t>
      </w:r>
    </w:p>
    <w:p w:rsidR="0079779A" w:rsidRDefault="0079779A" w14:paraId="566D54D8" w14:textId="77777777">
      <w:pPr>
        <w:autoSpaceDE w:val="0"/>
        <w:autoSpaceDN w:val="0"/>
      </w:pPr>
    </w:p>
    <w:p w:rsidR="0079779A" w:rsidRDefault="003E5439" w14:paraId="3B5CBD6F" w14:textId="77777777">
      <w:pPr>
        <w:autoSpaceDE w:val="0"/>
        <w:autoSpaceDN w:val="0"/>
      </w:pPr>
      <w:r>
        <w:t>Table 2</w:t>
      </w:r>
    </w:p>
    <w:p w:rsidR="0079779A" w:rsidRDefault="0079779A" w14:paraId="6FDC126E" w14:textId="77777777">
      <w:pPr>
        <w:autoSpaceDE w:val="0"/>
        <w:autoSpaceDN w:val="0"/>
      </w:pPr>
    </w:p>
    <w:tbl>
      <w:tblPr>
        <w:tblW w:w="0" w:type="auto"/>
        <w:jc w:val="center"/>
        <w:tblCellMar>
          <w:left w:w="0" w:type="dxa"/>
          <w:right w:w="0" w:type="dxa"/>
        </w:tblCellMar>
        <w:tblLook w:val="04A0" w:firstRow="1" w:lastRow="0" w:firstColumn="1" w:lastColumn="0" w:noHBand="0" w:noVBand="1"/>
      </w:tblPr>
      <w:tblGrid>
        <w:gridCol w:w="4615"/>
        <w:gridCol w:w="1977"/>
      </w:tblGrid>
      <w:tr w:rsidR="0079779A" w14:paraId="0CB05430" w14:textId="77777777">
        <w:trPr>
          <w:trHeight w:val="231"/>
          <w:jc w:val="center"/>
        </w:trPr>
        <w:tc>
          <w:tcPr>
            <w:tcW w:w="6592"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68BBEE42" w14:textId="77777777">
            <w:pPr>
              <w:spacing w:line="252" w:lineRule="auto"/>
              <w:jc w:val="center"/>
              <w:rPr>
                <w:u w:val="single"/>
              </w:rPr>
            </w:pPr>
            <w:r>
              <w:rPr>
                <w:u w:val="single"/>
              </w:rPr>
              <w:t>Energy Storage</w:t>
            </w:r>
          </w:p>
        </w:tc>
      </w:tr>
      <w:tr w:rsidR="0079779A" w14:paraId="5023DE47"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639A72BA" w14:textId="77777777">
            <w:pPr>
              <w:spacing w:line="252" w:lineRule="auto"/>
              <w:jc w:val="center"/>
              <w:rPr>
                <w:u w:val="single"/>
              </w:rPr>
            </w:pPr>
            <w:r>
              <w:rPr>
                <w:u w:val="single"/>
              </w:rPr>
              <w:t>Description</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373039BD" w14:textId="77777777">
            <w:pPr>
              <w:spacing w:line="252" w:lineRule="auto"/>
              <w:jc w:val="center"/>
              <w:rPr>
                <w:u w:val="single"/>
              </w:rPr>
            </w:pPr>
            <w:r>
              <w:rPr>
                <w:u w:val="single"/>
              </w:rPr>
              <w:t>Units</w:t>
            </w:r>
          </w:p>
        </w:tc>
      </w:tr>
      <w:tr w:rsidR="0079779A" w14:paraId="3DBB2A62"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tcPr>
          <w:p w:rsidR="0079779A" w:rsidRDefault="003E5439" w14:paraId="0B1322BD" w14:textId="77777777">
            <w:pPr>
              <w:spacing w:line="252" w:lineRule="auto"/>
            </w:pPr>
            <w:r>
              <w:t>Charge Power Set-Point*</w:t>
            </w:r>
          </w:p>
        </w:tc>
        <w:tc>
          <w:tcPr>
            <w:tcW w:w="1977" w:type="dxa"/>
            <w:tcBorders>
              <w:top w:val="nil"/>
              <w:left w:val="nil"/>
              <w:bottom w:val="single" w:color="auto" w:sz="8" w:space="0"/>
              <w:right w:val="single" w:color="auto" w:sz="8" w:space="0"/>
            </w:tcBorders>
            <w:tcMar>
              <w:top w:w="0" w:type="dxa"/>
              <w:left w:w="108" w:type="dxa"/>
              <w:bottom w:w="0" w:type="dxa"/>
              <w:right w:w="108" w:type="dxa"/>
            </w:tcMar>
          </w:tcPr>
          <w:p w:rsidR="0079779A" w:rsidRDefault="003E5439" w14:paraId="78285112" w14:textId="77777777">
            <w:pPr>
              <w:spacing w:line="252" w:lineRule="auto"/>
            </w:pPr>
            <w:r>
              <w:t>MW</w:t>
            </w:r>
          </w:p>
        </w:tc>
      </w:tr>
      <w:tr w:rsidR="0079779A" w14:paraId="0FD630FF"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5055BB68" w14:textId="77777777">
            <w:pPr>
              <w:spacing w:line="252" w:lineRule="auto"/>
            </w:pPr>
            <w:r>
              <w:t xml:space="preserve">Discharge Power Set-Point* </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04035B67" w14:textId="77777777">
            <w:pPr>
              <w:spacing w:line="252" w:lineRule="auto"/>
            </w:pPr>
            <w:r>
              <w:t>MW</w:t>
            </w:r>
          </w:p>
        </w:tc>
      </w:tr>
      <w:tr w:rsidR="0079779A" w14:paraId="30825AA4"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2722716B" w14:textId="77777777">
            <w:pPr>
              <w:spacing w:line="252" w:lineRule="auto"/>
            </w:pPr>
            <w:r>
              <w:t>Duration of Charge/Discharge Set-Point**</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6F65D3FC" w14:textId="77777777">
            <w:pPr>
              <w:spacing w:line="252" w:lineRule="auto"/>
            </w:pPr>
            <w:r>
              <w:t>minutes</w:t>
            </w:r>
          </w:p>
        </w:tc>
      </w:tr>
      <w:tr w:rsidR="0079779A" w14:paraId="6347F5C1"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13DC153B" w14:textId="77777777">
            <w:pPr>
              <w:spacing w:line="252" w:lineRule="auto"/>
            </w:pPr>
            <w:r>
              <w:t>Target State of Charge*</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7D272F21" w14:textId="77777777">
            <w:pPr>
              <w:spacing w:line="252" w:lineRule="auto"/>
            </w:pPr>
            <w:r>
              <w:t>%</w:t>
            </w:r>
          </w:p>
        </w:tc>
      </w:tr>
      <w:tr w:rsidR="0079779A" w14:paraId="64E47DAD"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5AABD530" w14:textId="77777777">
            <w:pPr>
              <w:spacing w:line="252" w:lineRule="auto"/>
            </w:pPr>
            <w:r>
              <w:t xml:space="preserve">Ramp Rate </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0D1E77BE" w14:textId="77777777">
            <w:pPr>
              <w:spacing w:line="252" w:lineRule="auto"/>
            </w:pPr>
            <w:r>
              <w:t>MW/s</w:t>
            </w:r>
          </w:p>
        </w:tc>
      </w:tr>
      <w:tr w:rsidR="0079779A" w14:paraId="5E3BFD1E"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2CB644E5" w14:textId="77777777">
            <w:pPr>
              <w:spacing w:line="252" w:lineRule="auto"/>
            </w:pPr>
            <w:r>
              <w:t>Control Mode (target time or target SOC)</w:t>
            </w:r>
          </w:p>
        </w:tc>
        <w:tc>
          <w:tcPr>
            <w:tcW w:w="1977" w:type="dxa"/>
            <w:tcBorders>
              <w:top w:val="nil"/>
              <w:left w:val="nil"/>
              <w:bottom w:val="single" w:color="auto" w:sz="8" w:space="0"/>
              <w:right w:val="single" w:color="auto" w:sz="8" w:space="0"/>
            </w:tcBorders>
            <w:tcMar>
              <w:top w:w="0" w:type="dxa"/>
              <w:left w:w="108" w:type="dxa"/>
              <w:bottom w:w="0" w:type="dxa"/>
              <w:right w:w="108" w:type="dxa"/>
            </w:tcMar>
            <w:hideMark/>
          </w:tcPr>
          <w:p w:rsidR="0079779A" w:rsidRDefault="003E5439" w14:paraId="677DC002" w14:textId="77777777">
            <w:pPr>
              <w:spacing w:line="252" w:lineRule="auto"/>
            </w:pPr>
            <w:r>
              <w:t>Boolean</w:t>
            </w:r>
          </w:p>
        </w:tc>
      </w:tr>
      <w:tr w:rsidR="0079779A" w14:paraId="2FB75177" w14:textId="77777777">
        <w:trPr>
          <w:trHeight w:val="231"/>
          <w:jc w:val="center"/>
        </w:trPr>
        <w:tc>
          <w:tcPr>
            <w:tcW w:w="4615" w:type="dxa"/>
            <w:tcBorders>
              <w:top w:val="nil"/>
              <w:left w:val="single" w:color="auto" w:sz="8" w:space="0"/>
              <w:bottom w:val="single" w:color="auto" w:sz="8" w:space="0"/>
              <w:right w:val="single" w:color="auto" w:sz="8" w:space="0"/>
            </w:tcBorders>
            <w:tcMar>
              <w:top w:w="0" w:type="dxa"/>
              <w:left w:w="108" w:type="dxa"/>
              <w:bottom w:w="0" w:type="dxa"/>
              <w:right w:w="108" w:type="dxa"/>
            </w:tcMar>
            <w:hideMark/>
          </w:tcPr>
          <w:p w:rsidR="0079779A" w:rsidRDefault="003E5439" w14:paraId="3E6A536C" w14:textId="77777777">
            <w:pPr>
              <w:spacing w:line="252" w:lineRule="auto"/>
            </w:pPr>
            <w:r>
              <w:t>Additional Data Points Reserved for Future Use</w:t>
            </w:r>
          </w:p>
        </w:tc>
        <w:tc>
          <w:tcPr>
            <w:tcW w:w="1977" w:type="dxa"/>
            <w:tcBorders>
              <w:top w:val="nil"/>
              <w:left w:val="nil"/>
              <w:bottom w:val="single" w:color="auto" w:sz="8" w:space="0"/>
              <w:right w:val="single" w:color="auto" w:sz="8" w:space="0"/>
            </w:tcBorders>
            <w:tcMar>
              <w:top w:w="0" w:type="dxa"/>
              <w:left w:w="108" w:type="dxa"/>
              <w:bottom w:w="0" w:type="dxa"/>
              <w:right w:w="108" w:type="dxa"/>
            </w:tcMar>
          </w:tcPr>
          <w:p w:rsidR="0079779A" w:rsidRDefault="0079779A" w14:paraId="100F22D0" w14:textId="77777777">
            <w:pPr>
              <w:spacing w:line="252" w:lineRule="auto"/>
            </w:pPr>
          </w:p>
        </w:tc>
      </w:tr>
    </w:tbl>
    <w:p w:rsidR="0079779A" w:rsidRDefault="0079779A" w14:paraId="26BD1C25" w14:textId="77777777"/>
    <w:p w:rsidR="0079779A" w:rsidRDefault="003E5439" w14:paraId="3FED9015" w14:textId="77777777">
      <w:r>
        <w:t>* Parties will resolve any conflicts in priority of signal in the Battery Storage System Operating Procedures</w:t>
      </w:r>
    </w:p>
    <w:p w:rsidR="0079779A" w:rsidRDefault="003E5439" w14:paraId="17BD4AE6" w14:textId="77777777">
      <w:r>
        <w:t>**System will observe either time entry or SOC target depending on Control Mode</w:t>
      </w:r>
    </w:p>
    <w:p w:rsidR="0079779A" w:rsidRDefault="0079779A" w14:paraId="53EF2827" w14:textId="77777777"/>
    <w:p w:rsidR="0079779A" w:rsidRDefault="003E5439" w14:paraId="18E44EC4" w14:textId="77777777">
      <w:r>
        <w:t>Data points transmitted via SCADA from Seller to Company are subject to Battery Storage Operating Procedures.</w:t>
      </w:r>
    </w:p>
    <w:p w:rsidR="0079779A" w:rsidRDefault="0079779A" w14:paraId="09AE6C94" w14:textId="77777777"/>
    <w:p w:rsidR="0079779A" w:rsidRDefault="003E5439" w14:paraId="03882629" w14:textId="77777777">
      <w:pPr>
        <w:keepNext/>
        <w:numPr>
          <w:ilvl w:val="0"/>
          <w:numId w:val="60"/>
        </w:numPr>
        <w:spacing w:after="240"/>
        <w:ind w:left="0" w:firstLine="720"/>
        <w:jc w:val="both"/>
      </w:pPr>
      <w:r>
        <w:rPr>
          <w:b/>
          <w:bCs/>
        </w:rPr>
        <w:t>Response times of Battery Storage System</w:t>
      </w:r>
      <w:r>
        <w:rPr>
          <w:bCs/>
        </w:rPr>
        <w:t xml:space="preserve">.  </w:t>
      </w:r>
      <w:r>
        <w:t>The Battery Storage System Operating Procedures will include protocols that outline the expectations for responding to the Company’s set points.</w:t>
      </w:r>
    </w:p>
    <w:p w:rsidR="0079779A" w:rsidRDefault="003E5439" w14:paraId="192CB5CF" w14:textId="77777777">
      <w:pPr>
        <w:numPr>
          <w:ilvl w:val="0"/>
          <w:numId w:val="60"/>
        </w:numPr>
        <w:spacing w:after="300"/>
        <w:ind w:left="0" w:firstLine="720"/>
        <w:jc w:val="both"/>
        <w:outlineLvl w:val="0"/>
        <w:rPr>
          <w:rFonts w:cs="Arial"/>
          <w:bCs/>
        </w:rPr>
      </w:pPr>
      <w:r>
        <w:rPr>
          <w:b/>
        </w:rPr>
        <w:t>Backup Communications</w:t>
      </w:r>
      <w:r>
        <w:t xml:space="preserve">.  </w:t>
      </w:r>
      <w:r>
        <w:rPr>
          <w:rFonts w:cs="Arial"/>
          <w:bCs/>
        </w:rPr>
        <w:t>In the event of a communications failure, Company and Seller shall communicate via telephone in order to correct the failure.</w:t>
      </w:r>
    </w:p>
    <w:p w:rsidR="0079779A" w:rsidRDefault="003E5439" w14:paraId="6347818A" w14:textId="77777777">
      <w:pPr>
        <w:keepNext/>
        <w:numPr>
          <w:ilvl w:val="0"/>
          <w:numId w:val="58"/>
        </w:numPr>
        <w:autoSpaceDE w:val="0"/>
        <w:autoSpaceDN w:val="0"/>
        <w:adjustRightInd w:val="0"/>
        <w:spacing w:after="200" w:line="276" w:lineRule="auto"/>
        <w:contextualSpacing/>
        <w:rPr>
          <w:rFonts w:cs="Arial" w:eastAsiaTheme="minorEastAsia"/>
          <w:u w:val="single"/>
        </w:rPr>
      </w:pPr>
      <w:r>
        <w:rPr>
          <w:rFonts w:cs="Arial" w:eastAsiaTheme="minorEastAsia"/>
          <w:u w:val="single"/>
        </w:rPr>
        <w:t>Availability Scheduling Requirements</w:t>
      </w:r>
    </w:p>
    <w:p w:rsidR="0079779A" w:rsidRDefault="0079779A" w14:paraId="494185F1" w14:textId="77777777">
      <w:pPr>
        <w:keepNext/>
        <w:autoSpaceDE w:val="0"/>
        <w:autoSpaceDN w:val="0"/>
        <w:adjustRightInd w:val="0"/>
        <w:spacing w:after="200" w:line="276" w:lineRule="auto"/>
        <w:ind w:left="1080"/>
        <w:contextualSpacing/>
        <w:rPr>
          <w:rFonts w:cs="Arial" w:eastAsiaTheme="minorEastAsia"/>
          <w:u w:val="single"/>
        </w:rPr>
      </w:pPr>
    </w:p>
    <w:p w:rsidR="0079779A" w:rsidRDefault="003E5439" w14:paraId="71BC3D39" w14:textId="77777777">
      <w:pPr>
        <w:keepNext/>
        <w:numPr>
          <w:ilvl w:val="0"/>
          <w:numId w:val="59"/>
        </w:numPr>
        <w:spacing w:after="240"/>
        <w:jc w:val="both"/>
      </w:pPr>
      <w:r>
        <w:rPr>
          <w:bCs/>
        </w:rPr>
        <w:t xml:space="preserve">The Battery Storage System availability schedule shall be posted at 4:00 AM two (2) Business Days prior to the applicable </w:t>
      </w:r>
      <w:proofErr w:type="gramStart"/>
      <w:r>
        <w:rPr>
          <w:bCs/>
        </w:rPr>
        <w:t>Day, and</w:t>
      </w:r>
      <w:proofErr w:type="gramEnd"/>
      <w:r>
        <w:rPr>
          <w:bCs/>
        </w:rPr>
        <w:t xml:space="preserve"> shall be applicable through the end of such Day.  For example, on Monday, an availability schedule is required for Wednesday (midnight to midnight).  On Tuesday, the schedule for Thursday. On Wednesday, the schedule for Friday, and so on.  The schedule shall be submitted through an availability scheduling system as specified by Company to Seller.  Prior to the Commercial Operation Date, </w:t>
      </w:r>
      <w:r>
        <w:rPr>
          <w:bCs/>
        </w:rPr>
        <w:lastRenderedPageBreak/>
        <w:t xml:space="preserve">Company shall provide Seller with the information necessary for Seller to access the chosen availability scheduling system. </w:t>
      </w:r>
    </w:p>
    <w:p w:rsidR="0079779A" w:rsidRDefault="003E5439" w14:paraId="5D85A945" w14:textId="77777777">
      <w:pPr>
        <w:numPr>
          <w:ilvl w:val="0"/>
          <w:numId w:val="59"/>
        </w:numPr>
        <w:spacing w:after="240"/>
        <w:jc w:val="both"/>
      </w:pPr>
      <w:r>
        <w:t>If any events or circumstances reduce the scheduled availability of the Battery Storage System by 10% or more (or the current requirements of the applicable ERO if less than 10%), such reduction shall be (1) communicated to the real-time operator via telephone with (2) an immediate update to the availability schedule in the availability scheduling system.</w:t>
      </w:r>
    </w:p>
    <w:p w:rsidR="0079779A" w:rsidRDefault="0079779A" w14:paraId="6BBB95C1" w14:textId="77777777">
      <w:pPr>
        <w:spacing w:after="240"/>
        <w:rPr>
          <w:rFonts w:cs="Arial"/>
        </w:rPr>
      </w:pPr>
    </w:p>
    <w:p w:rsidR="0079779A" w:rsidRDefault="0079779A" w14:paraId="166CF737" w14:textId="77777777">
      <w:pPr>
        <w:spacing w:after="240"/>
        <w:jc w:val="center"/>
        <w:rPr>
          <w:rFonts w:cs="Arial"/>
        </w:rPr>
      </w:pPr>
    </w:p>
    <w:p w:rsidR="0079779A" w:rsidRDefault="003E5439" w14:paraId="6D54B43F" w14:textId="77777777">
      <w:pPr>
        <w:spacing w:after="240"/>
        <w:jc w:val="center"/>
        <w:rPr>
          <w:rFonts w:cs="Arial"/>
        </w:rPr>
        <w:sectPr w:rsidR="0079779A">
          <w:footerReference w:type="default" r:id="rId51"/>
          <w:pgSz w:w="12240" w:h="15840" w:code="1"/>
          <w:pgMar w:top="1440" w:right="1440" w:bottom="1440" w:left="1440" w:header="720" w:footer="720" w:gutter="0"/>
          <w:pgNumType w:start="1"/>
          <w:cols w:space="720"/>
        </w:sectPr>
      </w:pPr>
      <w:r>
        <w:rPr>
          <w:rFonts w:cs="Arial"/>
        </w:rPr>
        <w:t>*</w:t>
      </w:r>
      <w:r>
        <w:rPr>
          <w:rFonts w:cs="Arial"/>
        </w:rPr>
        <w:tab/>
      </w:r>
      <w:r>
        <w:rPr>
          <w:rFonts w:cs="Arial"/>
        </w:rPr>
        <w:tab/>
        <w:t>*</w:t>
      </w:r>
      <w:r>
        <w:rPr>
          <w:rFonts w:cs="Arial"/>
        </w:rPr>
        <w:tab/>
      </w:r>
      <w:r>
        <w:rPr>
          <w:rFonts w:cs="Arial"/>
        </w:rPr>
        <w:tab/>
        <w:t>*</w:t>
      </w:r>
      <w:r>
        <w:rPr>
          <w:rFonts w:cs="Arial"/>
        </w:rPr>
        <w:tab/>
      </w:r>
      <w:r>
        <w:rPr>
          <w:rFonts w:cs="Arial"/>
        </w:rPr>
        <w:tab/>
        <w:t>*</w:t>
      </w:r>
      <w:r>
        <w:rPr>
          <w:rFonts w:cs="Arial"/>
        </w:rPr>
        <w:tab/>
      </w:r>
      <w:r>
        <w:rPr>
          <w:rFonts w:cs="Arial"/>
        </w:rPr>
        <w:tab/>
        <w:t>*</w:t>
      </w:r>
    </w:p>
    <w:p w:rsidR="0079779A" w:rsidRDefault="003E5439" w14:paraId="6593C8B9" w14:textId="77777777">
      <w:pPr>
        <w:jc w:val="center"/>
        <w:rPr>
          <w:rFonts w:cs="Arial"/>
          <w:b/>
        </w:rPr>
      </w:pPr>
      <w:r>
        <w:rPr>
          <w:rFonts w:cs="Arial"/>
          <w:b/>
        </w:rPr>
        <w:lastRenderedPageBreak/>
        <w:t>EXHIBIT P</w:t>
      </w:r>
    </w:p>
    <w:p w:rsidR="0079779A" w:rsidRDefault="0079779A" w14:paraId="71885A83" w14:textId="77777777">
      <w:pPr>
        <w:jc w:val="center"/>
        <w:rPr>
          <w:rFonts w:cs="Arial"/>
          <w:b/>
        </w:rPr>
      </w:pPr>
    </w:p>
    <w:p w:rsidR="0079779A" w:rsidRDefault="003E5439" w14:paraId="170556B8" w14:textId="77777777">
      <w:pPr>
        <w:jc w:val="center"/>
        <w:rPr>
          <w:rFonts w:cs="Arial"/>
          <w:b/>
        </w:rPr>
      </w:pPr>
      <w:r>
        <w:rPr>
          <w:rFonts w:cs="Arial"/>
          <w:b/>
        </w:rPr>
        <w:t>SAFETY REQUIREMENTS</w:t>
      </w:r>
    </w:p>
    <w:p w:rsidR="0079779A" w:rsidRDefault="0079779A" w14:paraId="42DC7F86" w14:textId="77777777">
      <w:pPr>
        <w:ind w:left="720"/>
        <w:jc w:val="center"/>
        <w:rPr>
          <w:rFonts w:cs="Arial"/>
          <w:b/>
        </w:rPr>
      </w:pPr>
    </w:p>
    <w:p w:rsidR="0079779A" w:rsidRDefault="003E5439" w14:paraId="201517BD" w14:textId="77777777">
      <w:pPr>
        <w:spacing w:after="240"/>
      </w:pPr>
      <w:r>
        <w:t xml:space="preserve">Seller shall design and construct the Facility in compliance with all Applicable Laws and shall ensure the Facility is operated in compliance with Good Utility Practice.  Seller shall identify codes and standards that are applicable to the design of the Facility and ensure that upon substantial completion the Facility meets applicable codes and standards.  Seller is solely responsible for maintaining the Facility in compliance with all Applicable Laws. Seller will provide Company with an independent registered professional engineer’s certification stating that the Facility has been completed in all material respects (including compliance with all Applicable Laws) prior to COD. </w:t>
      </w:r>
    </w:p>
    <w:p w:rsidR="0079779A" w:rsidRDefault="003E5439" w14:paraId="643C8241" w14:textId="77777777">
      <w:pPr>
        <w:spacing w:after="240"/>
      </w:pPr>
      <w:r>
        <w:t>Prior to COD, Seller will provide documentation submitted as part of the Adams County permitting process and, if not otherwise submitted as part of such permitting process, the following additional documents:</w:t>
      </w:r>
    </w:p>
    <w:p w:rsidR="0079779A" w:rsidRDefault="003E5439" w14:paraId="005DD43B" w14:textId="77777777">
      <w:pPr>
        <w:numPr>
          <w:ilvl w:val="0"/>
          <w:numId w:val="61"/>
        </w:numPr>
        <w:tabs>
          <w:tab w:val="num" w:pos="360"/>
        </w:tabs>
        <w:spacing w:after="120"/>
      </w:pPr>
      <w:r>
        <w:t xml:space="preserve">Operations and maintenance documentation, including an operations manual and maintenance manual, and schedule for planned </w:t>
      </w:r>
      <w:proofErr w:type="gramStart"/>
      <w:r>
        <w:t>maintenance;</w:t>
      </w:r>
      <w:proofErr w:type="gramEnd"/>
      <w:r>
        <w:t xml:space="preserve">  </w:t>
      </w:r>
    </w:p>
    <w:p w:rsidR="0079779A" w:rsidRDefault="003E5439" w14:paraId="2AA37C07" w14:textId="77777777">
      <w:pPr>
        <w:numPr>
          <w:ilvl w:val="0"/>
          <w:numId w:val="61"/>
        </w:numPr>
        <w:tabs>
          <w:tab w:val="num" w:pos="360"/>
        </w:tabs>
        <w:spacing w:after="120"/>
      </w:pPr>
      <w:r>
        <w:t xml:space="preserve">Safety procedures for personnel (may be included within the operations or maintenance manual), and supplier safety </w:t>
      </w:r>
      <w:proofErr w:type="gramStart"/>
      <w:r>
        <w:t>manual;</w:t>
      </w:r>
      <w:proofErr w:type="gramEnd"/>
      <w:r>
        <w:t xml:space="preserve"> </w:t>
      </w:r>
    </w:p>
    <w:p w:rsidR="0079779A" w:rsidRDefault="003E5439" w14:paraId="5CD9F2E8" w14:textId="77777777">
      <w:pPr>
        <w:numPr>
          <w:ilvl w:val="0"/>
          <w:numId w:val="61"/>
        </w:numPr>
        <w:tabs>
          <w:tab w:val="num" w:pos="360"/>
        </w:tabs>
        <w:spacing w:after="120"/>
      </w:pPr>
      <w:r>
        <w:t xml:space="preserve">Training materials for local first responders, identifying known hazards and failure modes, and methods for approach and action, if </w:t>
      </w:r>
      <w:proofErr w:type="gramStart"/>
      <w:r>
        <w:t>appropriate;</w:t>
      </w:r>
      <w:proofErr w:type="gramEnd"/>
      <w:r>
        <w:t xml:space="preserve"> </w:t>
      </w:r>
    </w:p>
    <w:p w:rsidR="0079779A" w:rsidRDefault="003E5439" w14:paraId="304898C1" w14:textId="77777777">
      <w:pPr>
        <w:numPr>
          <w:ilvl w:val="0"/>
          <w:numId w:val="61"/>
        </w:numPr>
        <w:tabs>
          <w:tab w:val="num" w:pos="360"/>
        </w:tabs>
        <w:spacing w:after="120"/>
      </w:pPr>
      <w:r>
        <w:t xml:space="preserve">Emergency management plan, including instructions on how to interpret alarms and faults, location of emergency stops, egress pathways, known hazards, and emergency contact information for a subject matter expert who can be available on site within 2 hours; and </w:t>
      </w:r>
    </w:p>
    <w:p w:rsidR="0079779A" w:rsidRDefault="003E5439" w14:paraId="6C190239" w14:textId="77777777">
      <w:pPr>
        <w:numPr>
          <w:ilvl w:val="0"/>
          <w:numId w:val="61"/>
        </w:numPr>
        <w:tabs>
          <w:tab w:val="num" w:pos="360"/>
        </w:tabs>
        <w:spacing w:after="120"/>
      </w:pPr>
      <w:r>
        <w:t>System drawings and documentation, including all physical, electrical, mechanical, and communications diagrams for all Facility sub-components, to allow for confirmation of claimed safety features including but not limited to, respectively, sufficient spacing, security, and signage; appropriate electrical ratings, grounding, and interconnections; foundations and construction materials; awareness of system operation and alarms; and fault ranges and emergency stops, but excluding any vendor proprietary drawings.  As applicable, certifications for all claimed standards compliance should be provided.</w:t>
      </w:r>
    </w:p>
    <w:p w:rsidR="0079779A" w:rsidRDefault="003E5439" w14:paraId="167723F2" w14:textId="77777777">
      <w:pPr>
        <w:ind w:left="720"/>
        <w:rPr>
          <w:rFonts w:cs="Arial"/>
          <w:b/>
        </w:rPr>
      </w:pPr>
      <w:r>
        <w:t xml:space="preserve">  </w:t>
      </w:r>
    </w:p>
    <w:p w:rsidR="0079779A" w:rsidRDefault="0079779A" w14:paraId="73AAA94B" w14:textId="77777777">
      <w:pPr>
        <w:ind w:left="720"/>
        <w:rPr>
          <w:rFonts w:cs="Arial"/>
          <w:b/>
        </w:rPr>
      </w:pPr>
    </w:p>
    <w:p w:rsidR="0079779A" w:rsidRDefault="003E5439" w14:paraId="752D8CCB" w14:textId="77777777">
      <w:pPr>
        <w:ind w:left="720"/>
        <w:jc w:val="center"/>
        <w:rPr>
          <w:rFonts w:cs="Arial"/>
          <w:b/>
        </w:rPr>
      </w:pPr>
      <w:r>
        <w:rPr>
          <w:rFonts w:cs="Arial"/>
          <w:b/>
        </w:rPr>
        <w:t>*</w:t>
      </w:r>
      <w:r>
        <w:rPr>
          <w:rFonts w:cs="Arial"/>
          <w:b/>
        </w:rPr>
        <w:tab/>
      </w:r>
      <w:r>
        <w:rPr>
          <w:rFonts w:cs="Arial"/>
          <w:b/>
        </w:rPr>
        <w:tab/>
        <w:t>*</w:t>
      </w:r>
      <w:r>
        <w:rPr>
          <w:rFonts w:cs="Arial"/>
          <w:b/>
        </w:rPr>
        <w:tab/>
      </w:r>
      <w:r>
        <w:rPr>
          <w:rFonts w:cs="Arial"/>
          <w:b/>
        </w:rPr>
        <w:tab/>
        <w:t>*</w:t>
      </w:r>
      <w:r>
        <w:rPr>
          <w:rFonts w:cs="Arial"/>
          <w:b/>
        </w:rPr>
        <w:tab/>
      </w:r>
      <w:r>
        <w:rPr>
          <w:rFonts w:cs="Arial"/>
          <w:b/>
        </w:rPr>
        <w:tab/>
        <w:t>*</w:t>
      </w:r>
      <w:r>
        <w:rPr>
          <w:rFonts w:cs="Arial"/>
          <w:b/>
        </w:rPr>
        <w:tab/>
      </w:r>
      <w:r>
        <w:rPr>
          <w:rFonts w:cs="Arial"/>
          <w:b/>
        </w:rPr>
        <w:tab/>
        <w:t>*</w:t>
      </w:r>
    </w:p>
    <w:p w:rsidR="0079779A" w:rsidRDefault="0079779A" w14:paraId="6F7F2CF9" w14:textId="77777777">
      <w:pPr>
        <w:rPr>
          <w:rFonts w:cs="Arial"/>
          <w:b/>
        </w:rPr>
        <w:sectPr w:rsidR="0079779A">
          <w:footerReference w:type="default" r:id="rId52"/>
          <w:pgSz w:w="12240" w:h="15840" w:code="1"/>
          <w:pgMar w:top="1440" w:right="1440" w:bottom="1440" w:left="1440" w:header="720" w:footer="720" w:gutter="0"/>
          <w:pgNumType w:start="1"/>
          <w:cols w:space="720"/>
        </w:sectPr>
      </w:pPr>
    </w:p>
    <w:p w:rsidR="0079779A" w:rsidRDefault="0079779A" w14:paraId="7CED3594" w14:textId="77777777">
      <w:pPr>
        <w:rPr>
          <w:rFonts w:cs="Arial"/>
          <w:b/>
        </w:rPr>
      </w:pPr>
    </w:p>
    <w:p w:rsidR="0079779A" w:rsidRDefault="003E5439" w14:paraId="332D68FA" w14:textId="77777777">
      <w:pPr>
        <w:spacing w:after="240"/>
        <w:ind w:left="360"/>
        <w:jc w:val="center"/>
        <w:outlineLvl w:val="0"/>
        <w:rPr>
          <w:rFonts w:cs="Arial"/>
          <w:b/>
        </w:rPr>
      </w:pPr>
      <w:r>
        <w:rPr>
          <w:rFonts w:cs="Arial"/>
          <w:b/>
        </w:rPr>
        <w:t>EXHIBIT Q</w:t>
      </w:r>
    </w:p>
    <w:p w:rsidR="0079779A" w:rsidRDefault="003E5439" w14:paraId="7020FC2F" w14:textId="77777777">
      <w:pPr>
        <w:autoSpaceDE w:val="0"/>
        <w:autoSpaceDN w:val="0"/>
        <w:adjustRightInd w:val="0"/>
        <w:jc w:val="center"/>
        <w:rPr>
          <w:rFonts w:cs="Arial"/>
          <w:b/>
        </w:rPr>
      </w:pPr>
      <w:r>
        <w:rPr>
          <w:rFonts w:cs="Arial"/>
          <w:b/>
          <w:lang w:bidi="he-IL"/>
        </w:rPr>
        <w:t>EXAMPLE ADJUSTMENT CALCULATIONS</w:t>
      </w:r>
    </w:p>
    <w:p w:rsidR="0079779A" w:rsidRDefault="0079779A" w14:paraId="3C778E36" w14:textId="77777777">
      <w:pPr>
        <w:autoSpaceDE w:val="0"/>
        <w:autoSpaceDN w:val="0"/>
        <w:adjustRightInd w:val="0"/>
        <w:spacing w:after="200"/>
        <w:jc w:val="center"/>
        <w:rPr>
          <w:rFonts w:cs="Arial"/>
          <w:b/>
          <w:lang w:bidi="he-IL"/>
        </w:rPr>
      </w:pPr>
    </w:p>
    <w:p w:rsidR="0079779A" w:rsidRDefault="003E5439" w14:paraId="51978043" w14:textId="77777777">
      <w:pPr>
        <w:autoSpaceDE w:val="0"/>
        <w:autoSpaceDN w:val="0"/>
        <w:adjustRightInd w:val="0"/>
        <w:spacing w:after="200"/>
        <w:jc w:val="both"/>
        <w:rPr>
          <w:rFonts w:cs="Arial"/>
          <w:b/>
          <w:lang w:bidi="he-IL"/>
        </w:rPr>
      </w:pPr>
      <w:r>
        <w:rPr>
          <w:rFonts w:cs="Arial"/>
          <w:b/>
          <w:lang w:bidi="he-IL"/>
        </w:rPr>
        <w:t>Example of Roundtrip Efficiency Adjustment</w:t>
      </w:r>
    </w:p>
    <w:p w:rsidR="0079779A" w:rsidRDefault="003E5439" w14:paraId="3C207197" w14:textId="77777777">
      <w:pPr>
        <w:autoSpaceDE w:val="0"/>
        <w:autoSpaceDN w:val="0"/>
        <w:adjustRightInd w:val="0"/>
        <w:spacing w:after="200"/>
        <w:jc w:val="both"/>
        <w:rPr>
          <w:rFonts w:cs="Arial"/>
          <w:lang w:bidi="he-IL"/>
        </w:rPr>
      </w:pPr>
      <w:r>
        <w:rPr>
          <w:rFonts w:cs="Arial"/>
          <w:lang w:bidi="he-IL"/>
        </w:rPr>
        <w:t>Example of Roundtrip Efficiency Adjustment based on the following assumed facts:</w:t>
      </w:r>
    </w:p>
    <w:p w:rsidRPr="00BA6F11" w:rsidR="0079779A" w:rsidP="00BA6F11" w:rsidRDefault="003E5439" w14:paraId="43B2933C" w14:textId="77777777">
      <w:pPr>
        <w:pStyle w:val="ListParagraph"/>
        <w:numPr>
          <w:ilvl w:val="4"/>
          <w:numId w:val="57"/>
        </w:numPr>
        <w:tabs>
          <w:tab w:val="clear" w:pos="1800"/>
          <w:tab w:val="num" w:pos="1260"/>
          <w:tab w:val="left" w:pos="1440"/>
          <w:tab w:val="left" w:pos="6750"/>
        </w:tabs>
        <w:spacing w:after="200"/>
        <w:ind w:left="1260" w:right="360" w:hanging="540"/>
        <w:jc w:val="both"/>
        <w:rPr>
          <w:rFonts w:cs="Arial"/>
          <w:lang w:bidi="he-IL"/>
        </w:rPr>
      </w:pPr>
      <w:r w:rsidRPr="00BA6F11">
        <w:rPr>
          <w:rFonts w:cs="Arial"/>
          <w:lang w:bidi="he-IL"/>
        </w:rPr>
        <w:t>Seller’s actual roundtrip efficiency as determined by latest test (RTE) = 85%.</w:t>
      </w:r>
    </w:p>
    <w:p w:rsidRPr="00BA6F11" w:rsidR="001611E7" w:rsidP="00BA6F11" w:rsidRDefault="001611E7" w14:paraId="34C7356C" w14:textId="77777777">
      <w:pPr>
        <w:pStyle w:val="ListParagraph"/>
        <w:numPr>
          <w:ilvl w:val="4"/>
          <w:numId w:val="57"/>
        </w:numPr>
        <w:tabs>
          <w:tab w:val="clear" w:pos="1800"/>
          <w:tab w:val="num" w:pos="1260"/>
        </w:tabs>
        <w:spacing w:after="200"/>
        <w:ind w:left="1260" w:hanging="540"/>
        <w:jc w:val="both"/>
        <w:rPr>
          <w:rFonts w:cs="Arial"/>
          <w:lang w:bidi="he-IL"/>
        </w:rPr>
      </w:pPr>
      <w:r w:rsidRPr="00BA6F11">
        <w:rPr>
          <w:rFonts w:cs="Arial"/>
          <w:lang w:bidi="he-IL"/>
        </w:rPr>
        <w:t>Seller’s Guaranteed Roundtrip Efficiency (RTE</w:t>
      </w:r>
      <w:r w:rsidRPr="00BA6F11">
        <w:rPr>
          <w:rFonts w:cs="Arial"/>
          <w:i/>
          <w:vertAlign w:val="subscript"/>
          <w:lang w:bidi="he-IL"/>
        </w:rPr>
        <w:t>G</w:t>
      </w:r>
      <w:r w:rsidRPr="00BA6F11">
        <w:rPr>
          <w:rFonts w:cs="Arial"/>
          <w:lang w:bidi="he-IL"/>
        </w:rPr>
        <w:t>) = 87%.</w:t>
      </w:r>
    </w:p>
    <w:p w:rsidR="00673AC2" w:rsidP="0069248E" w:rsidRDefault="00673AC2" w14:paraId="595934CB" w14:textId="77777777">
      <w:pPr>
        <w:pStyle w:val="ListParagraph"/>
        <w:numPr>
          <w:ilvl w:val="4"/>
          <w:numId w:val="57"/>
        </w:numPr>
        <w:tabs>
          <w:tab w:val="clear" w:pos="1800"/>
          <w:tab w:val="num" w:pos="1260"/>
        </w:tabs>
        <w:spacing w:after="200"/>
        <w:ind w:left="1260" w:hanging="540"/>
        <w:jc w:val="both"/>
        <w:rPr>
          <w:rFonts w:cs="Arial"/>
          <w:lang w:bidi="he-IL"/>
        </w:rPr>
      </w:pPr>
      <w:r w:rsidRPr="00F272AD">
        <w:rPr>
          <w:rFonts w:cs="Arial"/>
          <w:lang w:bidi="he-IL"/>
        </w:rPr>
        <w:t xml:space="preserve">Amount of </w:t>
      </w:r>
      <w:r>
        <w:rPr>
          <w:rFonts w:cs="Arial"/>
          <w:lang w:bidi="he-IL"/>
        </w:rPr>
        <w:t>Disc</w:t>
      </w:r>
      <w:r w:rsidRPr="00F272AD">
        <w:rPr>
          <w:rFonts w:cs="Arial"/>
          <w:lang w:bidi="he-IL"/>
        </w:rPr>
        <w:t>harging Energy delivered to the Point of Delivery for the affected month (</w:t>
      </w:r>
      <w:r>
        <w:rPr>
          <w:rFonts w:cs="Arial"/>
          <w:lang w:bidi="he-IL"/>
        </w:rPr>
        <w:t xml:space="preserve">Discharging </w:t>
      </w:r>
      <w:proofErr w:type="spellStart"/>
      <w:r w:rsidRPr="00F272AD">
        <w:rPr>
          <w:rFonts w:cs="Arial"/>
          <w:lang w:bidi="he-IL"/>
        </w:rPr>
        <w:t>MWh</w:t>
      </w:r>
      <w:r w:rsidRPr="00F272AD">
        <w:rPr>
          <w:rFonts w:cs="Arial"/>
          <w:i/>
          <w:vertAlign w:val="subscript"/>
          <w:lang w:bidi="he-IL"/>
        </w:rPr>
        <w:t>Actual</w:t>
      </w:r>
      <w:proofErr w:type="spellEnd"/>
      <w:r w:rsidRPr="00F272AD">
        <w:rPr>
          <w:rFonts w:cs="Arial"/>
          <w:lang w:bidi="he-IL"/>
        </w:rPr>
        <w:t xml:space="preserve">) = </w:t>
      </w:r>
      <w:r>
        <w:rPr>
          <w:rFonts w:cs="Arial"/>
          <w:lang w:bidi="he-IL"/>
        </w:rPr>
        <w:t>9,180</w:t>
      </w:r>
      <w:r w:rsidRPr="00F272AD">
        <w:rPr>
          <w:rFonts w:cs="Arial"/>
          <w:lang w:bidi="he-IL"/>
        </w:rPr>
        <w:t xml:space="preserve"> MWh.</w:t>
      </w:r>
    </w:p>
    <w:p w:rsidR="001611E7" w:rsidP="0069248E" w:rsidRDefault="001611E7" w14:paraId="4E4B314D" w14:textId="77777777">
      <w:pPr>
        <w:pStyle w:val="ListParagraph"/>
        <w:numPr>
          <w:ilvl w:val="4"/>
          <w:numId w:val="57"/>
        </w:numPr>
        <w:tabs>
          <w:tab w:val="clear" w:pos="1800"/>
          <w:tab w:val="num" w:pos="1260"/>
        </w:tabs>
        <w:spacing w:after="200"/>
        <w:ind w:left="1260" w:hanging="540"/>
        <w:jc w:val="both"/>
        <w:rPr>
          <w:rFonts w:cs="Arial"/>
          <w:lang w:bidi="he-IL"/>
        </w:rPr>
      </w:pPr>
      <w:r>
        <w:rPr>
          <w:rFonts w:cs="Arial"/>
          <w:lang w:bidi="he-IL"/>
        </w:rPr>
        <w:t>Discharging LMP = $13.50</w:t>
      </w:r>
    </w:p>
    <w:p w:rsidR="0079779A" w:rsidP="0069248E" w:rsidRDefault="003E5439" w14:paraId="35AF43D8" w14:textId="77777777">
      <w:pPr>
        <w:pStyle w:val="ListParagraph"/>
        <w:numPr>
          <w:ilvl w:val="4"/>
          <w:numId w:val="57"/>
        </w:numPr>
        <w:tabs>
          <w:tab w:val="clear" w:pos="1800"/>
          <w:tab w:val="num" w:pos="1260"/>
        </w:tabs>
        <w:spacing w:after="200"/>
        <w:ind w:left="1260" w:hanging="540"/>
        <w:jc w:val="both"/>
        <w:rPr>
          <w:rFonts w:cs="Arial"/>
          <w:lang w:bidi="he-IL"/>
        </w:rPr>
      </w:pPr>
      <w:r w:rsidRPr="00497A1E">
        <w:rPr>
          <w:rFonts w:cs="Arial"/>
          <w:lang w:bidi="he-IL"/>
        </w:rPr>
        <w:t>Amount of Charging Energy delivered to the Point of Delivery for the affected month (</w:t>
      </w:r>
      <w:r w:rsidR="00673AC2">
        <w:rPr>
          <w:rFonts w:cs="Arial"/>
          <w:lang w:bidi="he-IL"/>
        </w:rPr>
        <w:t xml:space="preserve">Charging </w:t>
      </w:r>
      <w:proofErr w:type="spellStart"/>
      <w:r w:rsidRPr="00A903DE">
        <w:rPr>
          <w:rFonts w:cs="Arial"/>
          <w:lang w:bidi="he-IL"/>
        </w:rPr>
        <w:t>MWh</w:t>
      </w:r>
      <w:r w:rsidRPr="00497A1E">
        <w:rPr>
          <w:rFonts w:cs="Arial"/>
          <w:i/>
          <w:vertAlign w:val="subscript"/>
          <w:lang w:bidi="he-IL"/>
        </w:rPr>
        <w:t>Actual</w:t>
      </w:r>
      <w:proofErr w:type="spellEnd"/>
      <w:r w:rsidRPr="00497A1E">
        <w:rPr>
          <w:rFonts w:cs="Arial"/>
          <w:lang w:bidi="he-IL"/>
        </w:rPr>
        <w:t>) = 1</w:t>
      </w:r>
      <w:r w:rsidRPr="00497A1E" w:rsidR="00673AC2">
        <w:rPr>
          <w:rFonts w:cs="Arial"/>
          <w:lang w:bidi="he-IL"/>
        </w:rPr>
        <w:t>0</w:t>
      </w:r>
      <w:r w:rsidRPr="00BA6F11">
        <w:rPr>
          <w:rFonts w:cs="Arial"/>
          <w:lang w:bidi="he-IL"/>
        </w:rPr>
        <w:t>,</w:t>
      </w:r>
      <w:r w:rsidRPr="00BA6F11" w:rsidR="00673AC2">
        <w:rPr>
          <w:rFonts w:cs="Arial"/>
          <w:lang w:bidi="he-IL"/>
        </w:rPr>
        <w:t xml:space="preserve">800 </w:t>
      </w:r>
      <w:r w:rsidRPr="00BA6F11">
        <w:rPr>
          <w:rFonts w:cs="Arial"/>
          <w:lang w:bidi="he-IL"/>
        </w:rPr>
        <w:t>MWh.</w:t>
      </w:r>
    </w:p>
    <w:p w:rsidRPr="00A903DE" w:rsidR="00673AC2" w:rsidP="00BA6F11" w:rsidRDefault="001611E7" w14:paraId="1FCA8C63" w14:textId="77777777">
      <w:pPr>
        <w:pStyle w:val="ListParagraph"/>
        <w:numPr>
          <w:ilvl w:val="4"/>
          <w:numId w:val="57"/>
        </w:numPr>
        <w:tabs>
          <w:tab w:val="clear" w:pos="1800"/>
          <w:tab w:val="num" w:pos="1260"/>
        </w:tabs>
        <w:spacing w:after="200"/>
        <w:ind w:left="1260" w:hanging="540"/>
        <w:jc w:val="both"/>
        <w:rPr>
          <w:rFonts w:cs="Arial"/>
          <w:lang w:bidi="he-IL"/>
        </w:rPr>
      </w:pPr>
      <w:r>
        <w:rPr>
          <w:rFonts w:cs="Arial"/>
          <w:lang w:bidi="he-IL"/>
        </w:rPr>
        <w:t>Charging LMP = $1.50</w:t>
      </w:r>
    </w:p>
    <w:p w:rsidR="0079779A" w:rsidRDefault="003E5439" w14:paraId="3878806A" w14:textId="77777777">
      <w:pPr>
        <w:autoSpaceDE w:val="0"/>
        <w:autoSpaceDN w:val="0"/>
        <w:adjustRightInd w:val="0"/>
        <w:spacing w:after="200"/>
        <w:jc w:val="both"/>
        <w:rPr>
          <w:rFonts w:cs="Arial"/>
          <w:lang w:bidi="he-IL"/>
        </w:rPr>
      </w:pPr>
      <w:r>
        <w:rPr>
          <w:rFonts w:cs="Arial"/>
          <w:lang w:bidi="he-IL"/>
        </w:rPr>
        <w:t xml:space="preserve">Given these assumed facts, the </w:t>
      </w:r>
      <w:r w:rsidR="001611E7">
        <w:t>Round Trip Efficiency Adjustment</w:t>
      </w:r>
      <w:r w:rsidR="001611E7">
        <w:rPr>
          <w:rFonts w:cs="Arial"/>
          <w:lang w:bidi="he-IL"/>
        </w:rPr>
        <w:t xml:space="preserve"> </w:t>
      </w:r>
      <w:r>
        <w:rPr>
          <w:rFonts w:cs="Arial"/>
          <w:lang w:bidi="he-IL"/>
        </w:rPr>
        <w:t>is calculated as follows:</w:t>
      </w:r>
    </w:p>
    <w:p w:rsidR="0079779A" w:rsidRDefault="001611E7" w14:paraId="01E3432B" w14:textId="77777777">
      <w:pPr>
        <w:tabs>
          <w:tab w:val="left" w:pos="3870"/>
        </w:tabs>
        <w:autoSpaceDE w:val="0"/>
        <w:autoSpaceDN w:val="0"/>
        <w:adjustRightInd w:val="0"/>
        <w:rPr>
          <w:rFonts w:cs="Arial"/>
          <w:u w:val="single"/>
          <w:lang w:bidi="he-IL"/>
        </w:rPr>
      </w:pPr>
      <w:r w:rsidRPr="001611E7">
        <w:rPr>
          <w:rFonts w:cs="Arial"/>
          <w:i/>
          <w:u w:val="single"/>
          <w:lang w:bidi="he-IL"/>
        </w:rPr>
        <w:t>Round Trip Efficiency Adjustment</w:t>
      </w:r>
      <w:r w:rsidR="003E5439">
        <w:rPr>
          <w:rFonts w:cs="Arial"/>
          <w:lang w:bidi="he-IL"/>
        </w:rPr>
        <w:tab/>
      </w:r>
    </w:p>
    <w:p w:rsidR="0079779A" w:rsidRDefault="003E5439" w14:paraId="0694883D" w14:textId="77777777">
      <w:pPr>
        <w:tabs>
          <w:tab w:val="left" w:pos="3870"/>
        </w:tabs>
        <w:autoSpaceDE w:val="0"/>
        <w:autoSpaceDN w:val="0"/>
        <w:adjustRightInd w:val="0"/>
        <w:rPr>
          <w:rFonts w:cs="Arial"/>
          <w:lang w:bidi="he-IL"/>
        </w:rPr>
      </w:pPr>
      <w:r>
        <w:rPr>
          <w:rFonts w:cs="Arial"/>
          <w:lang w:bidi="he-IL"/>
        </w:rPr>
        <w:tab/>
      </w:r>
    </w:p>
    <w:p w:rsidR="0079779A" w:rsidP="00BA6F11" w:rsidRDefault="003E5439" w14:paraId="0B3B47CF" w14:textId="77777777">
      <w:pPr>
        <w:tabs>
          <w:tab w:val="left" w:pos="3870"/>
        </w:tabs>
        <w:autoSpaceDE w:val="0"/>
        <w:autoSpaceDN w:val="0"/>
        <w:adjustRightInd w:val="0"/>
        <w:ind w:left="3870" w:hanging="3870"/>
        <w:rPr>
          <w:rFonts w:cs="Arial"/>
          <w:color w:val="000000"/>
        </w:rPr>
      </w:pPr>
      <w:r>
        <w:rPr>
          <w:rFonts w:cs="Arial"/>
          <w:lang w:bidi="he-IL"/>
        </w:rPr>
        <w:tab/>
        <w:t xml:space="preserve">= </w:t>
      </w:r>
      <w:r w:rsidRPr="00E8006C" w:rsidR="001611E7">
        <w:t>[1 – (</w:t>
      </w:r>
      <w:proofErr w:type="spellStart"/>
      <w:r w:rsidRPr="00E8006C" w:rsidR="001611E7">
        <w:t>RTE</w:t>
      </w:r>
      <w:r w:rsidR="001611E7">
        <w:rPr>
          <w:i/>
          <w:vertAlign w:val="subscript"/>
        </w:rPr>
        <w:t>test</w:t>
      </w:r>
      <w:proofErr w:type="spellEnd"/>
      <w:r w:rsidRPr="00E8006C" w:rsidR="001611E7">
        <w:t xml:space="preserve"> / RTE</w:t>
      </w:r>
      <w:r w:rsidR="001611E7">
        <w:rPr>
          <w:i/>
          <w:vertAlign w:val="subscript"/>
        </w:rPr>
        <w:t>G</w:t>
      </w:r>
      <w:proofErr w:type="gramStart"/>
      <w:r w:rsidRPr="00E8006C" w:rsidR="001611E7">
        <w:t>) ]</w:t>
      </w:r>
      <w:proofErr w:type="gramEnd"/>
      <w:r w:rsidRPr="00E8006C" w:rsidR="001611E7">
        <w:t xml:space="preserve"> x [(Discharging </w:t>
      </w:r>
      <w:proofErr w:type="spellStart"/>
      <w:r w:rsidR="001611E7">
        <w:rPr>
          <w:rFonts w:cs="Arial"/>
          <w:i/>
        </w:rPr>
        <w:t>MWh</w:t>
      </w:r>
      <w:r w:rsidR="001611E7">
        <w:rPr>
          <w:rFonts w:cs="Arial"/>
          <w:i/>
          <w:vertAlign w:val="subscript"/>
        </w:rPr>
        <w:t>Actual</w:t>
      </w:r>
      <w:proofErr w:type="spellEnd"/>
      <w:r w:rsidR="001611E7">
        <w:rPr>
          <w:rFonts w:cs="Arial"/>
          <w:i/>
          <w:vertAlign w:val="subscript"/>
        </w:rPr>
        <w:t xml:space="preserve">  </w:t>
      </w:r>
      <w:r w:rsidRPr="00E8006C" w:rsidR="001611E7">
        <w:t xml:space="preserve">* </w:t>
      </w:r>
      <w:r w:rsidR="001611E7">
        <w:t>D</w:t>
      </w:r>
      <w:r w:rsidRPr="00E8006C" w:rsidR="001611E7">
        <w:t xml:space="preserve">ischarging </w:t>
      </w:r>
      <w:r w:rsidR="001611E7">
        <w:t>LMP</w:t>
      </w:r>
      <w:r w:rsidRPr="00E8006C" w:rsidR="001611E7">
        <w:t>) - (</w:t>
      </w:r>
      <w:r w:rsidR="001611E7">
        <w:t>C</w:t>
      </w:r>
      <w:r w:rsidRPr="00E8006C" w:rsidR="001611E7">
        <w:t xml:space="preserve">harging </w:t>
      </w:r>
      <w:proofErr w:type="spellStart"/>
      <w:r w:rsidR="001611E7">
        <w:rPr>
          <w:rFonts w:cs="Arial"/>
          <w:i/>
        </w:rPr>
        <w:t>MWh</w:t>
      </w:r>
      <w:r w:rsidR="001611E7">
        <w:rPr>
          <w:rFonts w:cs="Arial"/>
          <w:i/>
          <w:vertAlign w:val="subscript"/>
        </w:rPr>
        <w:t>Actual</w:t>
      </w:r>
      <w:proofErr w:type="spellEnd"/>
      <w:r w:rsidR="001611E7">
        <w:rPr>
          <w:rFonts w:cs="Arial"/>
          <w:i/>
          <w:vertAlign w:val="subscript"/>
        </w:rPr>
        <w:t xml:space="preserve">  </w:t>
      </w:r>
      <w:r w:rsidRPr="00E8006C" w:rsidR="001611E7">
        <w:t xml:space="preserve">* </w:t>
      </w:r>
      <w:r w:rsidR="001611E7">
        <w:t>C</w:t>
      </w:r>
      <w:r w:rsidRPr="00E8006C" w:rsidR="001611E7">
        <w:t xml:space="preserve">harging </w:t>
      </w:r>
      <w:r w:rsidR="001611E7">
        <w:t>LMP</w:t>
      </w:r>
      <w:r w:rsidRPr="00E8006C" w:rsidR="001611E7">
        <w:t>)]</w:t>
      </w:r>
      <w:r w:rsidDel="001611E7" w:rsidR="001611E7">
        <w:rPr>
          <w:rFonts w:cs="Arial"/>
          <w:color w:val="000000"/>
        </w:rPr>
        <w:t xml:space="preserve"> </w:t>
      </w:r>
    </w:p>
    <w:p w:rsidR="0079779A" w:rsidRDefault="003E5439" w14:paraId="7C3E8AC8" w14:textId="77777777">
      <w:pPr>
        <w:tabs>
          <w:tab w:val="left" w:pos="3870"/>
        </w:tabs>
        <w:autoSpaceDE w:val="0"/>
        <w:autoSpaceDN w:val="0"/>
        <w:adjustRightInd w:val="0"/>
        <w:rPr>
          <w:rFonts w:cs="Arial"/>
          <w:lang w:bidi="he-IL"/>
        </w:rPr>
      </w:pPr>
      <w:r>
        <w:rPr>
          <w:rFonts w:cs="Arial"/>
          <w:lang w:bidi="he-IL"/>
        </w:rPr>
        <w:tab/>
      </w:r>
    </w:p>
    <w:p w:rsidR="0079779A" w:rsidP="00BA6F11" w:rsidRDefault="003E5439" w14:paraId="065F0D41" w14:textId="77777777">
      <w:pPr>
        <w:tabs>
          <w:tab w:val="left" w:pos="3870"/>
        </w:tabs>
        <w:autoSpaceDE w:val="0"/>
        <w:autoSpaceDN w:val="0"/>
        <w:adjustRightInd w:val="0"/>
        <w:ind w:left="3870" w:hanging="3870"/>
        <w:rPr>
          <w:rFonts w:cs="Arial"/>
          <w:color w:val="000000"/>
        </w:rPr>
      </w:pPr>
      <w:r>
        <w:rPr>
          <w:rFonts w:cs="Arial"/>
          <w:lang w:bidi="he-IL"/>
        </w:rPr>
        <w:tab/>
        <w:t xml:space="preserve">= </w:t>
      </w:r>
      <w:r>
        <w:rPr>
          <w:rFonts w:cs="Arial"/>
          <w:color w:val="000000"/>
        </w:rPr>
        <w:t xml:space="preserve">[1 – (85% / 87%)] x </w:t>
      </w:r>
      <w:r w:rsidR="002A2672">
        <w:rPr>
          <w:rFonts w:cs="Arial"/>
          <w:color w:val="000000"/>
        </w:rPr>
        <w:t>(</w:t>
      </w:r>
      <w:r>
        <w:rPr>
          <w:rFonts w:cs="Arial"/>
          <w:color w:val="000000"/>
        </w:rPr>
        <w:t>(</w:t>
      </w:r>
      <w:r w:rsidR="002A2672">
        <w:rPr>
          <w:rFonts w:cs="Arial"/>
          <w:color w:val="000000"/>
        </w:rPr>
        <w:t>9</w:t>
      </w:r>
      <w:r>
        <w:rPr>
          <w:rFonts w:cs="Arial"/>
          <w:color w:val="000000"/>
        </w:rPr>
        <w:t>,</w:t>
      </w:r>
      <w:r w:rsidR="002A2672">
        <w:rPr>
          <w:rFonts w:cs="Arial"/>
          <w:color w:val="000000"/>
        </w:rPr>
        <w:t xml:space="preserve">180 </w:t>
      </w:r>
      <w:r>
        <w:rPr>
          <w:rFonts w:cs="Arial"/>
          <w:color w:val="000000"/>
        </w:rPr>
        <w:t>MWh x $</w:t>
      </w:r>
      <w:r w:rsidR="002A2672">
        <w:rPr>
          <w:rFonts w:cs="Arial"/>
          <w:color w:val="000000"/>
        </w:rPr>
        <w:t>13.50</w:t>
      </w:r>
      <w:r>
        <w:rPr>
          <w:rFonts w:cs="Arial"/>
          <w:color w:val="000000"/>
        </w:rPr>
        <w:t>/MWh)</w:t>
      </w:r>
      <w:r w:rsidR="002A2672">
        <w:rPr>
          <w:rFonts w:cs="Arial"/>
          <w:color w:val="000000"/>
        </w:rPr>
        <w:t xml:space="preserve"> - 10,800 MWh x $1.50/MWh))</w:t>
      </w:r>
    </w:p>
    <w:p w:rsidR="0079779A" w:rsidRDefault="003E5439" w14:paraId="078C2718" w14:textId="77777777">
      <w:pPr>
        <w:tabs>
          <w:tab w:val="left" w:pos="3870"/>
        </w:tabs>
        <w:autoSpaceDE w:val="0"/>
        <w:autoSpaceDN w:val="0"/>
        <w:adjustRightInd w:val="0"/>
        <w:rPr>
          <w:rFonts w:cs="Arial"/>
          <w:lang w:bidi="he-IL"/>
        </w:rPr>
      </w:pPr>
      <w:r>
        <w:rPr>
          <w:rFonts w:cs="Arial"/>
          <w:lang w:bidi="he-IL"/>
        </w:rPr>
        <w:tab/>
      </w:r>
    </w:p>
    <w:p w:rsidR="002A2672" w:rsidP="002A2672" w:rsidRDefault="003E5439" w14:paraId="26C48B34" w14:textId="2B18F9D8">
      <w:pPr>
        <w:tabs>
          <w:tab w:val="left" w:pos="3870"/>
        </w:tabs>
        <w:autoSpaceDE w:val="0"/>
        <w:autoSpaceDN w:val="0"/>
        <w:adjustRightInd w:val="0"/>
        <w:ind w:left="3870" w:hanging="3870"/>
        <w:rPr>
          <w:rFonts w:cs="Arial"/>
          <w:color w:val="000000"/>
        </w:rPr>
      </w:pPr>
      <w:r>
        <w:rPr>
          <w:rFonts w:cs="Arial"/>
          <w:lang w:bidi="he-IL"/>
        </w:rPr>
        <w:tab/>
        <w:t xml:space="preserve">= </w:t>
      </w:r>
      <w:r w:rsidR="002A2672">
        <w:rPr>
          <w:rFonts w:cs="Arial"/>
          <w:lang w:bidi="he-IL"/>
        </w:rPr>
        <w:t>2.298</w:t>
      </w:r>
      <w:r w:rsidR="00510665">
        <w:rPr>
          <w:rFonts w:cs="Arial"/>
          <w:lang w:bidi="he-IL"/>
        </w:rPr>
        <w:t>851</w:t>
      </w:r>
      <w:r w:rsidR="002A2672">
        <w:rPr>
          <w:rFonts w:cs="Arial"/>
          <w:lang w:bidi="he-IL"/>
        </w:rPr>
        <w:t>%</w:t>
      </w:r>
      <w:r w:rsidR="002A2672">
        <w:rPr>
          <w:rFonts w:cs="Arial"/>
          <w:color w:val="000000"/>
        </w:rPr>
        <w:t xml:space="preserve"> x ($123,930 – $16,200)</w:t>
      </w:r>
    </w:p>
    <w:p w:rsidR="002A2672" w:rsidP="002A2672" w:rsidRDefault="002A2672" w14:paraId="5D1D084E" w14:textId="77777777">
      <w:pPr>
        <w:tabs>
          <w:tab w:val="left" w:pos="3870"/>
        </w:tabs>
        <w:autoSpaceDE w:val="0"/>
        <w:autoSpaceDN w:val="0"/>
        <w:adjustRightInd w:val="0"/>
        <w:ind w:left="3870" w:hanging="3870"/>
        <w:rPr>
          <w:rFonts w:cs="Arial"/>
          <w:color w:val="000000"/>
        </w:rPr>
      </w:pPr>
    </w:p>
    <w:p w:rsidR="002A2672" w:rsidP="002A2672" w:rsidRDefault="002A2672" w14:paraId="3DD47DF0" w14:textId="77777777">
      <w:pPr>
        <w:tabs>
          <w:tab w:val="left" w:pos="3870"/>
        </w:tabs>
        <w:autoSpaceDE w:val="0"/>
        <w:autoSpaceDN w:val="0"/>
        <w:adjustRightInd w:val="0"/>
        <w:ind w:left="3870" w:hanging="3870"/>
        <w:rPr>
          <w:rFonts w:cs="Arial"/>
          <w:color w:val="000000"/>
        </w:rPr>
      </w:pPr>
      <w:r>
        <w:rPr>
          <w:rFonts w:cs="Arial"/>
          <w:color w:val="000000"/>
        </w:rPr>
        <w:tab/>
        <w:t>= $2,476.55</w:t>
      </w:r>
    </w:p>
    <w:p w:rsidR="0079779A" w:rsidRDefault="0079779A" w14:paraId="1BF045B8" w14:textId="77777777">
      <w:pPr>
        <w:tabs>
          <w:tab w:val="left" w:pos="4140"/>
        </w:tabs>
        <w:autoSpaceDE w:val="0"/>
        <w:autoSpaceDN w:val="0"/>
        <w:adjustRightInd w:val="0"/>
        <w:rPr>
          <w:rFonts w:cs="Arial"/>
          <w:color w:val="000000"/>
        </w:rPr>
      </w:pPr>
    </w:p>
    <w:p w:rsidR="0079779A" w:rsidRDefault="003E5439" w14:paraId="6BAF5C0A" w14:textId="77777777">
      <w:pPr>
        <w:autoSpaceDE w:val="0"/>
        <w:autoSpaceDN w:val="0"/>
        <w:adjustRightInd w:val="0"/>
        <w:rPr>
          <w:rFonts w:cs="Arial"/>
          <w:b/>
        </w:rPr>
      </w:pPr>
      <w:r>
        <w:rPr>
          <w:rFonts w:cs="Arial"/>
          <w:b/>
        </w:rPr>
        <w:t>Example of Guaranteed Storage Availability Payment Adjustment</w:t>
      </w:r>
    </w:p>
    <w:p w:rsidR="0079779A" w:rsidRDefault="0079779A" w14:paraId="416ACE50" w14:textId="77777777">
      <w:pPr>
        <w:autoSpaceDE w:val="0"/>
        <w:autoSpaceDN w:val="0"/>
        <w:adjustRightInd w:val="0"/>
        <w:rPr>
          <w:rFonts w:cs="Arial"/>
          <w:lang w:bidi="he-IL"/>
        </w:rPr>
      </w:pPr>
    </w:p>
    <w:p w:rsidR="0079779A" w:rsidRDefault="003E5439" w14:paraId="3979B572" w14:textId="77777777">
      <w:pPr>
        <w:autoSpaceDE w:val="0"/>
        <w:autoSpaceDN w:val="0"/>
        <w:adjustRightInd w:val="0"/>
        <w:rPr>
          <w:rFonts w:cs="Arial"/>
        </w:rPr>
      </w:pPr>
      <w:r>
        <w:rPr>
          <w:rFonts w:cs="Arial"/>
          <w:lang w:bidi="he-IL"/>
        </w:rPr>
        <w:t xml:space="preserve">Example of </w:t>
      </w:r>
      <w:r>
        <w:rPr>
          <w:rFonts w:cs="Arial"/>
        </w:rPr>
        <w:t xml:space="preserve">Guaranteed Storage Availability Payment Adjustment </w:t>
      </w:r>
      <w:r>
        <w:rPr>
          <w:rFonts w:cs="Arial"/>
          <w:lang w:bidi="he-IL"/>
        </w:rPr>
        <w:t>based on the following assumed facts:</w:t>
      </w:r>
    </w:p>
    <w:p w:rsidR="0079779A" w:rsidRDefault="0079779A" w14:paraId="0D329CDA" w14:textId="77777777">
      <w:pPr>
        <w:autoSpaceDE w:val="0"/>
        <w:autoSpaceDN w:val="0"/>
        <w:adjustRightInd w:val="0"/>
        <w:rPr>
          <w:rFonts w:cs="Arial"/>
        </w:rPr>
      </w:pPr>
    </w:p>
    <w:p w:rsidR="0079779A" w:rsidRDefault="003E5439" w14:paraId="69B800C7"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Seller operates a 100 MW, 4-hour Battery Energy Storage System. </w:t>
      </w:r>
    </w:p>
    <w:p w:rsidR="0079779A" w:rsidRDefault="003E5439" w14:paraId="5302CB3A" w14:textId="77777777">
      <w:pPr>
        <w:pStyle w:val="ListParagraph"/>
        <w:numPr>
          <w:ilvl w:val="0"/>
          <w:numId w:val="65"/>
        </w:numPr>
        <w:autoSpaceDE w:val="0"/>
        <w:autoSpaceDN w:val="0"/>
        <w:adjustRightInd w:val="0"/>
        <w:spacing w:after="200"/>
        <w:jc w:val="both"/>
        <w:rPr>
          <w:rFonts w:cs="Arial"/>
          <w:lang w:bidi="he-IL"/>
        </w:rPr>
      </w:pPr>
      <w:r>
        <w:rPr>
          <w:rFonts w:cs="Arial"/>
          <w:lang w:bidi="he-IL"/>
        </w:rPr>
        <w:t>There are 720 Hours in the given month (based on an assumed 30-day month).</w:t>
      </w:r>
    </w:p>
    <w:p w:rsidR="0079779A" w:rsidRDefault="003E5439" w14:paraId="2D3B505B" w14:textId="77777777">
      <w:pPr>
        <w:pStyle w:val="ListParagraph"/>
        <w:numPr>
          <w:ilvl w:val="0"/>
          <w:numId w:val="65"/>
        </w:numPr>
        <w:autoSpaceDE w:val="0"/>
        <w:autoSpaceDN w:val="0"/>
        <w:adjustRightInd w:val="0"/>
        <w:spacing w:after="200"/>
        <w:jc w:val="both"/>
        <w:rPr>
          <w:rFonts w:cs="Arial"/>
          <w:lang w:bidi="he-IL"/>
        </w:rPr>
      </w:pPr>
      <w:r>
        <w:rPr>
          <w:rFonts w:cs="Arial"/>
          <w:lang w:bidi="he-IL"/>
        </w:rPr>
        <w:lastRenderedPageBreak/>
        <w:t xml:space="preserve">The </w:t>
      </w:r>
      <w:r>
        <w:rPr>
          <w:rFonts w:cs="Arial"/>
        </w:rPr>
        <w:t xml:space="preserve">Capacity Payment Rate </w:t>
      </w:r>
      <w:r>
        <w:rPr>
          <w:rFonts w:cs="Arial"/>
          <w:lang w:bidi="he-IL"/>
        </w:rPr>
        <w:t>in the given Commercial Operation Year is $15/kW-month.</w:t>
      </w:r>
    </w:p>
    <w:p w:rsidR="0079779A" w:rsidRDefault="003E5439" w14:paraId="57867631"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Storage Capacity determined by the most recent Test is </w:t>
      </w:r>
      <w:r>
        <w:rPr>
          <w:rFonts w:cs="Arial"/>
        </w:rPr>
        <w:t>100 MW (100,000 kW).</w:t>
      </w:r>
    </w:p>
    <w:p w:rsidR="0079779A" w:rsidRDefault="003E5439" w14:paraId="5C712C69" w14:textId="77777777">
      <w:pPr>
        <w:pStyle w:val="ListParagraph"/>
        <w:numPr>
          <w:ilvl w:val="0"/>
          <w:numId w:val="65"/>
        </w:numPr>
        <w:autoSpaceDE w:val="0"/>
        <w:autoSpaceDN w:val="0"/>
        <w:adjustRightInd w:val="0"/>
        <w:spacing w:after="200"/>
        <w:jc w:val="both"/>
        <w:rPr>
          <w:rFonts w:cs="Arial"/>
          <w:lang w:bidi="he-IL"/>
        </w:rPr>
      </w:pPr>
      <w:r>
        <w:rPr>
          <w:rFonts w:cs="Arial"/>
          <w:lang w:bidi="he-IL"/>
        </w:rPr>
        <w:t xml:space="preserve">The </w:t>
      </w:r>
      <w:r>
        <w:rPr>
          <w:rFonts w:cs="Arial"/>
        </w:rPr>
        <w:t>Guaranteed Storage Availability is 97%.</w:t>
      </w:r>
    </w:p>
    <w:p w:rsidR="0079779A" w:rsidRDefault="003E5439" w14:paraId="7CC1A696" w14:textId="77777777">
      <w:pPr>
        <w:pStyle w:val="ListParagraph"/>
        <w:numPr>
          <w:ilvl w:val="0"/>
          <w:numId w:val="65"/>
        </w:numPr>
        <w:autoSpaceDE w:val="0"/>
        <w:autoSpaceDN w:val="0"/>
        <w:adjustRightInd w:val="0"/>
        <w:spacing w:after="200"/>
        <w:jc w:val="both"/>
        <w:rPr>
          <w:rFonts w:cs="Arial"/>
          <w:lang w:bidi="he-IL"/>
        </w:rPr>
      </w:pPr>
      <w:r>
        <w:rPr>
          <w:rFonts w:cs="Arial"/>
          <w:lang w:bidi="he-IL"/>
        </w:rPr>
        <w:t>Seller experiences four (4) outage events in the applicable month.</w:t>
      </w:r>
    </w:p>
    <w:p w:rsidR="0079779A" w:rsidRDefault="003E5439" w14:paraId="2C20BEA8" w14:textId="77777777">
      <w:pPr>
        <w:pStyle w:val="ListParagraph"/>
        <w:numPr>
          <w:ilvl w:val="1"/>
          <w:numId w:val="65"/>
        </w:numPr>
        <w:autoSpaceDE w:val="0"/>
        <w:autoSpaceDN w:val="0"/>
        <w:adjustRightInd w:val="0"/>
        <w:spacing w:after="200"/>
        <w:jc w:val="both"/>
        <w:rPr>
          <w:rFonts w:cs="Arial"/>
          <w:lang w:bidi="he-IL"/>
        </w:rPr>
      </w:pPr>
      <w:r>
        <w:rPr>
          <w:rFonts w:cs="Arial"/>
          <w:lang w:bidi="he-IL"/>
        </w:rPr>
        <w:t>Outage Event #1 is a Planned Outage Event which persists for 12 Hours during which 0 MW of capacity is available for 4 Hours.</w:t>
      </w:r>
    </w:p>
    <w:p w:rsidR="0079779A" w:rsidRDefault="003E5439" w14:paraId="7F3EF7BD" w14:textId="77777777">
      <w:pPr>
        <w:pStyle w:val="ListParagraph"/>
        <w:numPr>
          <w:ilvl w:val="1"/>
          <w:numId w:val="65"/>
        </w:numPr>
        <w:autoSpaceDE w:val="0"/>
        <w:autoSpaceDN w:val="0"/>
        <w:adjustRightInd w:val="0"/>
        <w:spacing w:after="200"/>
        <w:jc w:val="both"/>
        <w:rPr>
          <w:rFonts w:cs="Arial"/>
          <w:lang w:bidi="he-IL"/>
        </w:rPr>
      </w:pPr>
      <w:r>
        <w:rPr>
          <w:rFonts w:cs="Arial"/>
          <w:lang w:bidi="he-IL"/>
        </w:rPr>
        <w:t>Outage Event #2 is an unplanned outage which persists for 16 hours during which only 50 MW of capacity is available for 4 Hours.</w:t>
      </w:r>
    </w:p>
    <w:p w:rsidR="0079779A" w:rsidRDefault="003E5439" w14:paraId="2DB2FD28" w14:textId="77777777">
      <w:pPr>
        <w:pStyle w:val="ListParagraph"/>
        <w:numPr>
          <w:ilvl w:val="1"/>
          <w:numId w:val="65"/>
        </w:numPr>
        <w:autoSpaceDE w:val="0"/>
        <w:autoSpaceDN w:val="0"/>
        <w:adjustRightInd w:val="0"/>
        <w:spacing w:after="200"/>
        <w:jc w:val="both"/>
        <w:rPr>
          <w:rFonts w:cs="Arial"/>
          <w:lang w:bidi="he-IL"/>
        </w:rPr>
      </w:pPr>
      <w:r>
        <w:rPr>
          <w:rFonts w:cs="Arial"/>
          <w:lang w:bidi="he-IL"/>
        </w:rPr>
        <w:t>Outage Event #3 is an unplanned outage which persists for 30 hours during which 0 MW of capacity is available for 4 Hours.</w:t>
      </w:r>
    </w:p>
    <w:p w:rsidR="0079779A" w:rsidRDefault="003E5439" w14:paraId="46A6A5CC" w14:textId="77777777">
      <w:pPr>
        <w:pStyle w:val="ListParagraph"/>
        <w:numPr>
          <w:ilvl w:val="1"/>
          <w:numId w:val="65"/>
        </w:numPr>
        <w:autoSpaceDE w:val="0"/>
        <w:autoSpaceDN w:val="0"/>
        <w:adjustRightInd w:val="0"/>
        <w:spacing w:after="200"/>
        <w:jc w:val="both"/>
        <w:rPr>
          <w:rFonts w:cs="Arial"/>
          <w:lang w:bidi="he-IL"/>
        </w:rPr>
      </w:pPr>
      <w:r>
        <w:rPr>
          <w:rFonts w:cs="Arial"/>
          <w:lang w:bidi="he-IL"/>
        </w:rPr>
        <w:t>Outage Event #4 is an unplanned outage which persists for 20 hours during which 25 MW of capacity is available for 4 hours.</w:t>
      </w:r>
    </w:p>
    <w:p w:rsidR="0079779A" w:rsidRDefault="003E5439" w14:paraId="02335AC8" w14:textId="77777777">
      <w:pPr>
        <w:autoSpaceDE w:val="0"/>
        <w:autoSpaceDN w:val="0"/>
        <w:adjustRightInd w:val="0"/>
        <w:spacing w:after="200"/>
        <w:jc w:val="both"/>
        <w:rPr>
          <w:rFonts w:cs="Arial"/>
          <w:lang w:bidi="he-IL"/>
        </w:rPr>
      </w:pPr>
      <w:r>
        <w:rPr>
          <w:rFonts w:cs="Arial"/>
          <w:lang w:bidi="he-IL"/>
        </w:rPr>
        <w:t>Given these assumed facts, the monthly Guaranteed Storage Availability Payment Adjustment due to Company is calculated as follows:</w:t>
      </w:r>
    </w:p>
    <w:p w:rsidR="0079779A" w:rsidRDefault="003E5439" w14:paraId="072E4BB4" w14:textId="77777777">
      <w:pPr>
        <w:pStyle w:val="ListParagraph"/>
        <w:numPr>
          <w:ilvl w:val="0"/>
          <w:numId w:val="66"/>
        </w:numPr>
        <w:autoSpaceDE w:val="0"/>
        <w:autoSpaceDN w:val="0"/>
        <w:adjustRightInd w:val="0"/>
        <w:spacing w:after="200"/>
        <w:jc w:val="both"/>
        <w:rPr>
          <w:rFonts w:cs="Arial"/>
          <w:lang w:bidi="he-IL"/>
        </w:rPr>
      </w:pPr>
      <w:r>
        <w:rPr>
          <w:rFonts w:cs="Arial"/>
          <w:lang w:bidi="he-IL"/>
        </w:rPr>
        <w:t xml:space="preserve">The Availability Factor and resulting </w:t>
      </w:r>
      <w:r>
        <w:rPr>
          <w:rFonts w:cs="Arial"/>
        </w:rPr>
        <w:t>Equivalent Planned Outage Hours and Equivalent Forced Outage Hours are calculated for each outage as follows:</w:t>
      </w:r>
    </w:p>
    <w:p w:rsidR="0079779A" w:rsidRDefault="003E5439" w14:paraId="161AEFD8" w14:textId="77777777">
      <w:pPr>
        <w:autoSpaceDE w:val="0"/>
        <w:autoSpaceDN w:val="0"/>
        <w:adjustRightInd w:val="0"/>
        <w:spacing w:after="200"/>
        <w:ind w:left="720" w:firstLine="720"/>
        <w:jc w:val="both"/>
        <w:rPr>
          <w:rFonts w:cs="Arial"/>
          <w:lang w:bidi="he-IL"/>
        </w:rPr>
      </w:pPr>
      <w:r>
        <w:rPr>
          <w:rFonts w:cs="Arial"/>
          <w:lang w:bidi="he-IL"/>
        </w:rPr>
        <w:t xml:space="preserve">Outage Event #1: </w:t>
      </w:r>
    </w:p>
    <w:p w:rsidR="0079779A" w:rsidRDefault="003E5439" w14:paraId="226FE576" w14:textId="77777777">
      <w:pPr>
        <w:autoSpaceDE w:val="0"/>
        <w:autoSpaceDN w:val="0"/>
        <w:adjustRightInd w:val="0"/>
        <w:spacing w:after="200"/>
        <w:ind w:left="1440" w:firstLine="720"/>
        <w:jc w:val="both"/>
        <w:rPr>
          <w:rFonts w:cs="Arial"/>
          <w:lang w:bidi="he-IL"/>
        </w:rPr>
      </w:pPr>
      <w:r>
        <w:rPr>
          <w:rFonts w:cs="Arial"/>
          <w:i/>
          <w:lang w:bidi="he-IL"/>
        </w:rPr>
        <w:t xml:space="preserve">Availability Factor </w:t>
      </w:r>
      <w:r>
        <w:rPr>
          <w:rFonts w:cs="Arial"/>
          <w:lang w:bidi="he-IL"/>
        </w:rPr>
        <w:t xml:space="preserve">= 0 MW / 100 MW = 0 </w:t>
      </w:r>
    </w:p>
    <w:p w:rsidR="0079779A" w:rsidRDefault="003E5439" w14:paraId="39C2ACB5" w14:textId="77777777">
      <w:pPr>
        <w:autoSpaceDE w:val="0"/>
        <w:autoSpaceDN w:val="0"/>
        <w:adjustRightInd w:val="0"/>
        <w:spacing w:after="200"/>
        <w:ind w:left="1440" w:firstLine="720"/>
        <w:jc w:val="both"/>
        <w:rPr>
          <w:rFonts w:cs="Arial"/>
          <w:lang w:bidi="he-IL"/>
        </w:rPr>
      </w:pPr>
      <w:r>
        <w:rPr>
          <w:rFonts w:cs="Arial"/>
          <w:i/>
        </w:rPr>
        <w:t>Equivalent Planned Outage Hours</w:t>
      </w:r>
      <w:r>
        <w:rPr>
          <w:rFonts w:cs="Arial"/>
        </w:rPr>
        <w:t xml:space="preserve"> = 12 </w:t>
      </w:r>
      <w:r>
        <w:rPr>
          <w:rFonts w:cs="Arial"/>
          <w:color w:val="000000"/>
        </w:rPr>
        <w:t>x</w:t>
      </w:r>
      <w:r>
        <w:rPr>
          <w:rFonts w:cs="Arial"/>
        </w:rPr>
        <w:t xml:space="preserve"> (1 – 0) = 12 Hours</w:t>
      </w:r>
    </w:p>
    <w:p w:rsidR="0079779A" w:rsidRDefault="003E5439" w14:paraId="7C686CDC" w14:textId="77777777">
      <w:pPr>
        <w:autoSpaceDE w:val="0"/>
        <w:autoSpaceDN w:val="0"/>
        <w:adjustRightInd w:val="0"/>
        <w:spacing w:after="200"/>
        <w:ind w:left="1440" w:firstLine="720"/>
        <w:jc w:val="both"/>
        <w:rPr>
          <w:rFonts w:cs="Arial"/>
          <w:lang w:bidi="he-IL"/>
        </w:rPr>
      </w:pPr>
      <w:r>
        <w:rPr>
          <w:rFonts w:cs="Arial"/>
          <w:i/>
          <w:lang w:bidi="he-IL"/>
        </w:rPr>
        <w:t>Equivalent Forced Outage Hours</w:t>
      </w:r>
      <w:r>
        <w:rPr>
          <w:rFonts w:cs="Arial"/>
          <w:lang w:bidi="he-IL"/>
        </w:rPr>
        <w:t xml:space="preserve"> = 0 Hours</w:t>
      </w:r>
    </w:p>
    <w:p w:rsidR="0079779A" w:rsidRDefault="003E5439" w14:paraId="4D2538FE" w14:textId="77777777">
      <w:pPr>
        <w:autoSpaceDE w:val="0"/>
        <w:autoSpaceDN w:val="0"/>
        <w:adjustRightInd w:val="0"/>
        <w:spacing w:after="200"/>
        <w:ind w:left="720" w:firstLine="720"/>
        <w:jc w:val="both"/>
        <w:rPr>
          <w:rFonts w:cs="Arial"/>
          <w:lang w:bidi="he-IL"/>
        </w:rPr>
      </w:pPr>
      <w:r>
        <w:rPr>
          <w:rFonts w:cs="Arial"/>
          <w:lang w:bidi="he-IL"/>
        </w:rPr>
        <w:t xml:space="preserve">Outage Event #2: </w:t>
      </w:r>
    </w:p>
    <w:p w:rsidR="0079779A" w:rsidRDefault="003E5439" w14:paraId="280858E4" w14:textId="77777777">
      <w:pPr>
        <w:autoSpaceDE w:val="0"/>
        <w:autoSpaceDN w:val="0"/>
        <w:adjustRightInd w:val="0"/>
        <w:spacing w:after="200"/>
        <w:ind w:left="1440" w:firstLine="720"/>
        <w:jc w:val="both"/>
        <w:rPr>
          <w:rFonts w:cs="Arial"/>
          <w:lang w:bidi="he-IL"/>
        </w:rPr>
      </w:pPr>
      <w:r>
        <w:rPr>
          <w:rFonts w:cs="Arial"/>
          <w:i/>
          <w:lang w:bidi="he-IL"/>
        </w:rPr>
        <w:t xml:space="preserve">Availability Factor </w:t>
      </w:r>
      <w:r>
        <w:rPr>
          <w:rFonts w:cs="Arial"/>
          <w:lang w:bidi="he-IL"/>
        </w:rPr>
        <w:t xml:space="preserve">= 50 MW / 100 MW = 0.5 </w:t>
      </w:r>
    </w:p>
    <w:p w:rsidR="0079779A" w:rsidRDefault="003E5439" w14:paraId="6346FCE4" w14:textId="77777777">
      <w:pPr>
        <w:autoSpaceDE w:val="0"/>
        <w:autoSpaceDN w:val="0"/>
        <w:adjustRightInd w:val="0"/>
        <w:spacing w:after="200"/>
        <w:ind w:left="1440" w:firstLine="720"/>
        <w:jc w:val="both"/>
        <w:rPr>
          <w:rFonts w:cs="Arial"/>
          <w:lang w:bidi="he-IL"/>
        </w:rPr>
      </w:pPr>
      <w:r>
        <w:rPr>
          <w:rFonts w:cs="Arial"/>
          <w:i/>
        </w:rPr>
        <w:t>Equivalent Planned Outage Hours</w:t>
      </w:r>
      <w:r>
        <w:rPr>
          <w:rFonts w:cs="Arial"/>
        </w:rPr>
        <w:t xml:space="preserve"> = 0 Hours</w:t>
      </w:r>
    </w:p>
    <w:p w:rsidR="0079779A" w:rsidRDefault="003E5439" w14:paraId="35609D68" w14:textId="77777777">
      <w:pPr>
        <w:autoSpaceDE w:val="0"/>
        <w:autoSpaceDN w:val="0"/>
        <w:adjustRightInd w:val="0"/>
        <w:spacing w:after="200"/>
        <w:ind w:left="1440" w:firstLine="720"/>
        <w:jc w:val="both"/>
        <w:rPr>
          <w:rFonts w:cs="Arial"/>
          <w:lang w:bidi="he-IL"/>
        </w:rPr>
      </w:pPr>
      <w:r>
        <w:rPr>
          <w:rFonts w:cs="Arial"/>
          <w:i/>
          <w:lang w:bidi="he-IL"/>
        </w:rPr>
        <w:t>Equivalent Forced Outage Hours</w:t>
      </w:r>
      <w:r>
        <w:rPr>
          <w:rFonts w:cs="Arial"/>
          <w:lang w:bidi="he-IL"/>
        </w:rPr>
        <w:t xml:space="preserve"> = </w:t>
      </w:r>
      <w:r>
        <w:rPr>
          <w:rFonts w:cs="Arial"/>
        </w:rPr>
        <w:t xml:space="preserve">16 </w:t>
      </w:r>
      <w:r>
        <w:rPr>
          <w:rFonts w:cs="Arial"/>
          <w:color w:val="000000"/>
        </w:rPr>
        <w:t>x</w:t>
      </w:r>
      <w:r>
        <w:rPr>
          <w:rFonts w:cs="Arial"/>
        </w:rPr>
        <w:t xml:space="preserve"> (1 – 0.5) = 8 Hours</w:t>
      </w:r>
    </w:p>
    <w:p w:rsidR="0079779A" w:rsidRDefault="003E5439" w14:paraId="56836BCE" w14:textId="77777777">
      <w:pPr>
        <w:autoSpaceDE w:val="0"/>
        <w:autoSpaceDN w:val="0"/>
        <w:adjustRightInd w:val="0"/>
        <w:spacing w:after="200"/>
        <w:ind w:left="720" w:firstLine="720"/>
        <w:jc w:val="both"/>
        <w:rPr>
          <w:rFonts w:cs="Arial"/>
          <w:lang w:bidi="he-IL"/>
        </w:rPr>
      </w:pPr>
      <w:r>
        <w:rPr>
          <w:rFonts w:cs="Arial"/>
          <w:lang w:bidi="he-IL"/>
        </w:rPr>
        <w:t xml:space="preserve">Outage Event #3: </w:t>
      </w:r>
    </w:p>
    <w:p w:rsidR="0079779A" w:rsidRDefault="003E5439" w14:paraId="0ACBB38D" w14:textId="77777777">
      <w:pPr>
        <w:autoSpaceDE w:val="0"/>
        <w:autoSpaceDN w:val="0"/>
        <w:adjustRightInd w:val="0"/>
        <w:spacing w:after="200"/>
        <w:ind w:left="1440" w:firstLine="720"/>
        <w:jc w:val="both"/>
        <w:rPr>
          <w:rFonts w:cs="Arial"/>
          <w:lang w:bidi="he-IL"/>
        </w:rPr>
      </w:pPr>
      <w:r>
        <w:rPr>
          <w:rFonts w:cs="Arial"/>
          <w:i/>
          <w:lang w:bidi="he-IL"/>
        </w:rPr>
        <w:t xml:space="preserve">Availability Factor </w:t>
      </w:r>
      <w:r>
        <w:rPr>
          <w:rFonts w:cs="Arial"/>
          <w:lang w:bidi="he-IL"/>
        </w:rPr>
        <w:t xml:space="preserve">= 0 MW / 100 MW = 0 </w:t>
      </w:r>
    </w:p>
    <w:p w:rsidR="0079779A" w:rsidRDefault="003E5439" w14:paraId="43B3E969" w14:textId="77777777">
      <w:pPr>
        <w:autoSpaceDE w:val="0"/>
        <w:autoSpaceDN w:val="0"/>
        <w:adjustRightInd w:val="0"/>
        <w:spacing w:after="200"/>
        <w:ind w:left="1440" w:firstLine="720"/>
        <w:jc w:val="both"/>
        <w:rPr>
          <w:rFonts w:cs="Arial"/>
          <w:lang w:bidi="he-IL"/>
        </w:rPr>
      </w:pPr>
      <w:r>
        <w:rPr>
          <w:rFonts w:cs="Arial"/>
          <w:i/>
        </w:rPr>
        <w:t>Equivalent Planned Outage Hours</w:t>
      </w:r>
      <w:r>
        <w:rPr>
          <w:rFonts w:cs="Arial"/>
        </w:rPr>
        <w:t xml:space="preserve"> = 0 Hours</w:t>
      </w:r>
    </w:p>
    <w:p w:rsidR="0079779A" w:rsidRDefault="003E5439" w14:paraId="680E3C08" w14:textId="77777777">
      <w:pPr>
        <w:autoSpaceDE w:val="0"/>
        <w:autoSpaceDN w:val="0"/>
        <w:adjustRightInd w:val="0"/>
        <w:spacing w:after="200"/>
        <w:ind w:left="1440" w:firstLine="720"/>
        <w:jc w:val="both"/>
        <w:rPr>
          <w:rFonts w:cs="Arial"/>
          <w:lang w:bidi="he-IL"/>
        </w:rPr>
      </w:pPr>
      <w:r>
        <w:rPr>
          <w:rFonts w:cs="Arial"/>
          <w:i/>
          <w:lang w:bidi="he-IL"/>
        </w:rPr>
        <w:t>Equivalent Forced Outage Hours</w:t>
      </w:r>
      <w:r>
        <w:rPr>
          <w:rFonts w:cs="Arial"/>
          <w:lang w:bidi="he-IL"/>
        </w:rPr>
        <w:t xml:space="preserve"> = </w:t>
      </w:r>
      <w:r>
        <w:rPr>
          <w:rFonts w:cs="Arial"/>
        </w:rPr>
        <w:t xml:space="preserve">30 </w:t>
      </w:r>
      <w:r>
        <w:rPr>
          <w:rFonts w:cs="Arial"/>
          <w:color w:val="000000"/>
        </w:rPr>
        <w:t>x</w:t>
      </w:r>
      <w:r>
        <w:rPr>
          <w:rFonts w:cs="Arial"/>
        </w:rPr>
        <w:t xml:space="preserve"> (1 – 0) = 30 Hours</w:t>
      </w:r>
    </w:p>
    <w:p w:rsidR="0079779A" w:rsidRDefault="003E5439" w14:paraId="0521E569" w14:textId="77777777">
      <w:pPr>
        <w:autoSpaceDE w:val="0"/>
        <w:autoSpaceDN w:val="0"/>
        <w:adjustRightInd w:val="0"/>
        <w:spacing w:after="200"/>
        <w:ind w:left="720" w:firstLine="720"/>
        <w:jc w:val="both"/>
        <w:rPr>
          <w:rFonts w:cs="Arial"/>
          <w:lang w:bidi="he-IL"/>
        </w:rPr>
      </w:pPr>
      <w:r>
        <w:rPr>
          <w:rFonts w:cs="Arial"/>
          <w:lang w:bidi="he-IL"/>
        </w:rPr>
        <w:t xml:space="preserve">Outage Event #4: </w:t>
      </w:r>
    </w:p>
    <w:p w:rsidR="0079779A" w:rsidRDefault="003E5439" w14:paraId="006AB335" w14:textId="77777777">
      <w:pPr>
        <w:autoSpaceDE w:val="0"/>
        <w:autoSpaceDN w:val="0"/>
        <w:adjustRightInd w:val="0"/>
        <w:spacing w:after="200"/>
        <w:ind w:left="1440" w:firstLine="720"/>
        <w:jc w:val="both"/>
        <w:rPr>
          <w:rFonts w:cs="Arial"/>
          <w:lang w:bidi="he-IL"/>
        </w:rPr>
      </w:pPr>
      <w:r>
        <w:rPr>
          <w:rFonts w:cs="Arial"/>
          <w:i/>
          <w:lang w:bidi="he-IL"/>
        </w:rPr>
        <w:lastRenderedPageBreak/>
        <w:t xml:space="preserve">Availability Factor </w:t>
      </w:r>
      <w:r>
        <w:rPr>
          <w:rFonts w:cs="Arial"/>
          <w:lang w:bidi="he-IL"/>
        </w:rPr>
        <w:t>= 25 MW / 100 MW = 0.25</w:t>
      </w:r>
    </w:p>
    <w:p w:rsidR="0079779A" w:rsidRDefault="003E5439" w14:paraId="1869A55D" w14:textId="77777777">
      <w:pPr>
        <w:autoSpaceDE w:val="0"/>
        <w:autoSpaceDN w:val="0"/>
        <w:adjustRightInd w:val="0"/>
        <w:spacing w:after="200"/>
        <w:ind w:left="1440" w:firstLine="720"/>
        <w:jc w:val="both"/>
        <w:rPr>
          <w:rFonts w:cs="Arial"/>
          <w:lang w:bidi="he-IL"/>
        </w:rPr>
      </w:pPr>
      <w:r>
        <w:rPr>
          <w:rFonts w:cs="Arial"/>
          <w:i/>
        </w:rPr>
        <w:t>Equivalent Planned Outage Hours</w:t>
      </w:r>
      <w:r>
        <w:rPr>
          <w:rFonts w:cs="Arial"/>
        </w:rPr>
        <w:t xml:space="preserve"> = 0 Hours</w:t>
      </w:r>
    </w:p>
    <w:p w:rsidR="0079779A" w:rsidRDefault="003E5439" w14:paraId="27F9A19A" w14:textId="77777777">
      <w:pPr>
        <w:autoSpaceDE w:val="0"/>
        <w:autoSpaceDN w:val="0"/>
        <w:adjustRightInd w:val="0"/>
        <w:spacing w:after="200"/>
        <w:ind w:left="1440" w:firstLine="720"/>
        <w:jc w:val="both"/>
        <w:rPr>
          <w:rFonts w:cs="Arial"/>
          <w:lang w:bidi="he-IL"/>
        </w:rPr>
      </w:pPr>
      <w:r>
        <w:rPr>
          <w:rFonts w:cs="Arial"/>
          <w:i/>
          <w:lang w:bidi="he-IL"/>
        </w:rPr>
        <w:t>Equivalent Forced Outage Hours</w:t>
      </w:r>
      <w:r>
        <w:rPr>
          <w:rFonts w:cs="Arial"/>
          <w:lang w:bidi="he-IL"/>
        </w:rPr>
        <w:t xml:space="preserve"> = </w:t>
      </w:r>
      <w:r>
        <w:rPr>
          <w:rFonts w:cs="Arial"/>
        </w:rPr>
        <w:t>20 x (1 – 0.25) = 15 Hours</w:t>
      </w:r>
    </w:p>
    <w:p w:rsidR="0079779A" w:rsidRDefault="003E5439" w14:paraId="2EB9547F" w14:textId="77777777">
      <w:pPr>
        <w:pStyle w:val="ListParagraph"/>
        <w:numPr>
          <w:ilvl w:val="0"/>
          <w:numId w:val="66"/>
        </w:numPr>
        <w:autoSpaceDE w:val="0"/>
        <w:autoSpaceDN w:val="0"/>
        <w:adjustRightInd w:val="0"/>
        <w:spacing w:after="200"/>
        <w:jc w:val="both"/>
        <w:rPr>
          <w:rFonts w:cs="Arial"/>
          <w:lang w:bidi="he-IL"/>
        </w:rPr>
      </w:pPr>
      <w:r>
        <w:rPr>
          <w:rFonts w:cs="Arial"/>
          <w:lang w:bidi="he-IL"/>
        </w:rPr>
        <w:t xml:space="preserve">The </w:t>
      </w:r>
      <w:r>
        <w:rPr>
          <w:rFonts w:cs="Arial"/>
        </w:rPr>
        <w:t>Total Equivalent Planned Outage Hours</w:t>
      </w:r>
      <w:r>
        <w:rPr>
          <w:rFonts w:cs="Arial"/>
          <w:lang w:bidi="he-IL"/>
        </w:rPr>
        <w:t xml:space="preserve"> and </w:t>
      </w:r>
      <w:r>
        <w:rPr>
          <w:rFonts w:cs="Arial"/>
        </w:rPr>
        <w:t>Total Equivalent Forced Outage Hours</w:t>
      </w:r>
      <w:r>
        <w:rPr>
          <w:rFonts w:cs="Arial"/>
          <w:lang w:bidi="he-IL"/>
        </w:rPr>
        <w:t xml:space="preserve"> </w:t>
      </w:r>
      <w:r>
        <w:rPr>
          <w:rFonts w:cs="Arial"/>
        </w:rPr>
        <w:t>are calculated as follow:</w:t>
      </w:r>
    </w:p>
    <w:p w:rsidR="0079779A" w:rsidRDefault="003E5439" w14:paraId="16EB492B" w14:textId="77777777">
      <w:pPr>
        <w:autoSpaceDE w:val="0"/>
        <w:autoSpaceDN w:val="0"/>
        <w:adjustRightInd w:val="0"/>
        <w:spacing w:after="200"/>
        <w:ind w:left="720" w:firstLine="720"/>
        <w:jc w:val="both"/>
        <w:rPr>
          <w:rFonts w:cs="Arial"/>
          <w:lang w:bidi="he-IL"/>
        </w:rPr>
      </w:pPr>
      <w:r>
        <w:rPr>
          <w:rFonts w:cs="Arial"/>
          <w:i/>
        </w:rPr>
        <w:t>Total Equivalent Planned Outage Hours</w:t>
      </w:r>
      <w:r>
        <w:rPr>
          <w:rFonts w:cs="Arial"/>
        </w:rPr>
        <w:t xml:space="preserve"> = 12 + 0 + 0 + 0 = 12 Hours</w:t>
      </w:r>
    </w:p>
    <w:p w:rsidR="0079779A" w:rsidRDefault="003E5439" w14:paraId="5B62BB37" w14:textId="77777777">
      <w:pPr>
        <w:autoSpaceDE w:val="0"/>
        <w:autoSpaceDN w:val="0"/>
        <w:adjustRightInd w:val="0"/>
        <w:spacing w:after="200"/>
        <w:ind w:left="720" w:firstLine="720"/>
        <w:jc w:val="both"/>
        <w:rPr>
          <w:rFonts w:cs="Arial"/>
          <w:lang w:bidi="he-IL"/>
        </w:rPr>
      </w:pPr>
      <w:r>
        <w:rPr>
          <w:rFonts w:cs="Arial"/>
          <w:i/>
        </w:rPr>
        <w:t>Total Equivalent Forced Outage Hours</w:t>
      </w:r>
      <w:r>
        <w:rPr>
          <w:rFonts w:cs="Arial"/>
        </w:rPr>
        <w:t xml:space="preserve"> = 0 + 8 + 30 + 15 = 53 Hours</w:t>
      </w:r>
    </w:p>
    <w:p w:rsidR="0079779A" w:rsidRDefault="003E5439" w14:paraId="75B52533" w14:textId="77777777">
      <w:pPr>
        <w:pStyle w:val="ListParagraph"/>
        <w:numPr>
          <w:ilvl w:val="0"/>
          <w:numId w:val="66"/>
        </w:numPr>
        <w:autoSpaceDE w:val="0"/>
        <w:autoSpaceDN w:val="0"/>
        <w:adjustRightInd w:val="0"/>
        <w:spacing w:after="200"/>
        <w:jc w:val="both"/>
        <w:rPr>
          <w:rFonts w:cs="Arial"/>
          <w:lang w:bidi="he-IL"/>
        </w:rPr>
      </w:pPr>
      <w:r>
        <w:rPr>
          <w:rFonts w:cs="Arial"/>
          <w:lang w:bidi="he-IL"/>
        </w:rPr>
        <w:t xml:space="preserve">The </w:t>
      </w:r>
      <w:r>
        <w:rPr>
          <w:rFonts w:cs="Arial"/>
        </w:rPr>
        <w:t>Equivalent Availability Factor</w:t>
      </w:r>
      <w:r>
        <w:rPr>
          <w:rFonts w:cs="Arial"/>
          <w:lang w:bidi="he-IL"/>
        </w:rPr>
        <w:t xml:space="preserve"> is</w:t>
      </w:r>
      <w:r>
        <w:rPr>
          <w:rFonts w:cs="Arial"/>
        </w:rPr>
        <w:t xml:space="preserve"> calculated as follows:</w:t>
      </w:r>
    </w:p>
    <w:p w:rsidR="0079779A" w:rsidRDefault="003E5439" w14:paraId="4161138F" w14:textId="77777777">
      <w:pPr>
        <w:pStyle w:val="ListParagraph"/>
        <w:autoSpaceDE w:val="0"/>
        <w:autoSpaceDN w:val="0"/>
        <w:adjustRightInd w:val="0"/>
        <w:ind w:left="1440"/>
        <w:rPr>
          <w:rFonts w:cs="Arial"/>
        </w:rPr>
      </w:pPr>
      <w:r>
        <w:rPr>
          <w:rFonts w:cs="Arial"/>
          <w:i/>
        </w:rPr>
        <w:t>Equivalent Availability Factor</w:t>
      </w:r>
      <w:r>
        <w:rPr>
          <w:rFonts w:cs="Arial"/>
          <w:lang w:bidi="he-IL"/>
        </w:rPr>
        <w:t xml:space="preserve"> = </w:t>
      </w:r>
      <w:r>
        <w:rPr>
          <w:rFonts w:cs="Arial"/>
        </w:rPr>
        <w:t>(Hours – Total Equivalent Forced Outage Hours – Total Equivalent Planned Outage Hours) / (Hours – Total Equivalent Planned Outage Hours)</w:t>
      </w:r>
    </w:p>
    <w:p w:rsidR="0079779A" w:rsidRDefault="0079779A" w14:paraId="44381C81" w14:textId="77777777">
      <w:pPr>
        <w:pStyle w:val="ListParagraph"/>
        <w:autoSpaceDE w:val="0"/>
        <w:autoSpaceDN w:val="0"/>
        <w:adjustRightInd w:val="0"/>
        <w:ind w:left="1440"/>
        <w:rPr>
          <w:rFonts w:cs="Arial"/>
        </w:rPr>
      </w:pPr>
    </w:p>
    <w:p w:rsidR="0079779A" w:rsidRDefault="003E5439" w14:paraId="37AA6C9C" w14:textId="77777777">
      <w:pPr>
        <w:pStyle w:val="ListParagraph"/>
        <w:autoSpaceDE w:val="0"/>
        <w:autoSpaceDN w:val="0"/>
        <w:adjustRightInd w:val="0"/>
        <w:ind w:left="1440"/>
        <w:rPr>
          <w:rFonts w:cs="Arial"/>
        </w:rPr>
      </w:pPr>
      <w:r>
        <w:rPr>
          <w:rFonts w:cs="Arial"/>
          <w:i/>
        </w:rPr>
        <w:t>Equivalent Availability Factor</w:t>
      </w:r>
      <w:r>
        <w:rPr>
          <w:rFonts w:cs="Arial"/>
          <w:lang w:bidi="he-IL"/>
        </w:rPr>
        <w:t xml:space="preserve"> = </w:t>
      </w:r>
      <w:r>
        <w:rPr>
          <w:rFonts w:cs="Arial"/>
        </w:rPr>
        <w:t>(720 – 53 – 12) / (720 – 12) = 0.925</w:t>
      </w:r>
    </w:p>
    <w:p w:rsidR="0079779A" w:rsidRDefault="0079779A" w14:paraId="20157E28" w14:textId="77777777">
      <w:pPr>
        <w:autoSpaceDE w:val="0"/>
        <w:autoSpaceDN w:val="0"/>
        <w:adjustRightInd w:val="0"/>
        <w:rPr>
          <w:rFonts w:cs="Arial"/>
        </w:rPr>
      </w:pPr>
    </w:p>
    <w:p w:rsidR="0079779A" w:rsidRDefault="003E5439" w14:paraId="73958411" w14:textId="77777777">
      <w:pPr>
        <w:pStyle w:val="ListParagraph"/>
        <w:numPr>
          <w:ilvl w:val="0"/>
          <w:numId w:val="66"/>
        </w:numPr>
        <w:autoSpaceDE w:val="0"/>
        <w:autoSpaceDN w:val="0"/>
        <w:adjustRightInd w:val="0"/>
        <w:spacing w:after="200"/>
        <w:jc w:val="both"/>
        <w:rPr>
          <w:rFonts w:cs="Arial"/>
          <w:lang w:bidi="he-IL"/>
        </w:rPr>
      </w:pPr>
      <w:r>
        <w:rPr>
          <w:rFonts w:cs="Arial"/>
          <w:lang w:bidi="he-IL"/>
        </w:rPr>
        <w:t xml:space="preserve">The </w:t>
      </w:r>
      <w:r>
        <w:rPr>
          <w:rFonts w:cs="Arial"/>
        </w:rPr>
        <w:t>Guaranteed Storage Availability Payment Adjustment</w:t>
      </w:r>
      <w:r>
        <w:rPr>
          <w:rFonts w:cs="Arial"/>
          <w:lang w:bidi="he-IL"/>
        </w:rPr>
        <w:t xml:space="preserve"> for the applicable month is then</w:t>
      </w:r>
      <w:r>
        <w:rPr>
          <w:rFonts w:cs="Arial"/>
        </w:rPr>
        <w:t xml:space="preserve"> calculated as follows:</w:t>
      </w:r>
    </w:p>
    <w:p w:rsidR="0079779A" w:rsidRDefault="003E5439" w14:paraId="49F88194" w14:textId="77777777">
      <w:pPr>
        <w:pStyle w:val="ListParagraph"/>
        <w:autoSpaceDE w:val="0"/>
        <w:autoSpaceDN w:val="0"/>
        <w:adjustRightInd w:val="0"/>
        <w:ind w:left="1440"/>
        <w:rPr>
          <w:rFonts w:cs="Arial"/>
        </w:rPr>
      </w:pPr>
      <w:r>
        <w:rPr>
          <w:rFonts w:cs="Arial"/>
          <w:i/>
        </w:rPr>
        <w:t>Guaranteed Storage Availability Payment Adjustment</w:t>
      </w:r>
      <w:r>
        <w:rPr>
          <w:rFonts w:cs="Arial"/>
        </w:rPr>
        <w:t xml:space="preserve"> = Capacity Payment Rate </w:t>
      </w:r>
      <w:proofErr w:type="gramStart"/>
      <w:r>
        <w:rPr>
          <w:rFonts w:cs="Arial"/>
        </w:rPr>
        <w:t>x</w:t>
      </w:r>
      <w:proofErr w:type="gramEnd"/>
      <w:r>
        <w:rPr>
          <w:rFonts w:cs="Arial"/>
        </w:rPr>
        <w:t xml:space="preserve"> Storage Capacity x (the Guaranteed Storage Availability (as a percentage) minus the Equivalent Availability Factor (as a percentage));</w:t>
      </w:r>
    </w:p>
    <w:p w:rsidR="0079779A" w:rsidRDefault="0079779A" w14:paraId="5D8FD8EA" w14:textId="77777777">
      <w:pPr>
        <w:autoSpaceDE w:val="0"/>
        <w:autoSpaceDN w:val="0"/>
        <w:adjustRightInd w:val="0"/>
        <w:rPr>
          <w:rFonts w:cs="Arial"/>
        </w:rPr>
      </w:pPr>
    </w:p>
    <w:p w:rsidR="0079779A" w:rsidRDefault="003E5439" w14:paraId="72817427" w14:textId="77777777">
      <w:pPr>
        <w:autoSpaceDE w:val="0"/>
        <w:autoSpaceDN w:val="0"/>
        <w:adjustRightInd w:val="0"/>
        <w:ind w:left="1440"/>
        <w:rPr>
          <w:rFonts w:cs="Arial"/>
          <w:i/>
        </w:rPr>
      </w:pPr>
      <w:r>
        <w:rPr>
          <w:rFonts w:cs="Arial"/>
          <w:i/>
        </w:rPr>
        <w:t xml:space="preserve">Guaranteed Storage Availability Payment Adjustment </w:t>
      </w:r>
      <w:r>
        <w:rPr>
          <w:rFonts w:cs="Arial"/>
        </w:rPr>
        <w:t>=</w:t>
      </w:r>
    </w:p>
    <w:p w:rsidR="0079779A" w:rsidRDefault="0079779A" w14:paraId="6B51F2A1" w14:textId="77777777">
      <w:pPr>
        <w:autoSpaceDE w:val="0"/>
        <w:autoSpaceDN w:val="0"/>
        <w:adjustRightInd w:val="0"/>
        <w:ind w:left="1440"/>
        <w:rPr>
          <w:rFonts w:cs="Arial"/>
          <w:i/>
          <w:sz w:val="10"/>
        </w:rPr>
      </w:pPr>
    </w:p>
    <w:p w:rsidRPr="00A61D09" w:rsidR="0079779A" w:rsidRDefault="003E5439" w14:paraId="41D5EB12" w14:textId="77777777">
      <w:pPr>
        <w:autoSpaceDE w:val="0"/>
        <w:autoSpaceDN w:val="0"/>
        <w:adjustRightInd w:val="0"/>
        <w:ind w:left="2880"/>
        <w:rPr>
          <w:rFonts w:cs="Arial"/>
        </w:rPr>
      </w:pPr>
      <w:r w:rsidRPr="00A61D09">
        <w:rPr>
          <w:rFonts w:cs="Arial"/>
        </w:rPr>
        <w:t>$15/kW-month x 100,000 kW x (.97 – .925) = $67,500</w:t>
      </w:r>
    </w:p>
    <w:p w:rsidRPr="00A61D09" w:rsidR="0079779A" w:rsidRDefault="0079779A" w14:paraId="46A7F09F" w14:textId="77777777">
      <w:pPr>
        <w:autoSpaceDE w:val="0"/>
        <w:autoSpaceDN w:val="0"/>
        <w:adjustRightInd w:val="0"/>
        <w:rPr>
          <w:rFonts w:cs="Arial"/>
        </w:rPr>
      </w:pPr>
    </w:p>
    <w:p w:rsidRPr="00A61D09" w:rsidR="0079779A" w:rsidRDefault="003E5439" w14:paraId="33C6F0DC" w14:textId="77777777">
      <w:pPr>
        <w:autoSpaceDE w:val="0"/>
        <w:autoSpaceDN w:val="0"/>
        <w:adjustRightInd w:val="0"/>
        <w:rPr>
          <w:rFonts w:cs="Arial"/>
          <w:b/>
        </w:rPr>
      </w:pPr>
      <w:r w:rsidRPr="00A61D09">
        <w:rPr>
          <w:rFonts w:cs="Arial"/>
          <w:b/>
        </w:rPr>
        <w:t xml:space="preserve">Example of </w:t>
      </w:r>
      <w:r w:rsidRPr="00A61D09" w:rsidR="0069248E">
        <w:rPr>
          <w:rFonts w:cs="Arial"/>
          <w:b/>
        </w:rPr>
        <w:t>Dispatch Availability Factor</w:t>
      </w:r>
    </w:p>
    <w:p w:rsidRPr="00A61D09" w:rsidR="0079779A" w:rsidRDefault="0079779A" w14:paraId="7212ED61" w14:textId="77777777">
      <w:pPr>
        <w:autoSpaceDE w:val="0"/>
        <w:autoSpaceDN w:val="0"/>
        <w:adjustRightInd w:val="0"/>
        <w:rPr>
          <w:rFonts w:cs="Arial"/>
          <w:lang w:bidi="he-IL"/>
        </w:rPr>
      </w:pPr>
    </w:p>
    <w:p w:rsidRPr="00A61D09" w:rsidR="009D4AA3" w:rsidP="009D4AA3" w:rsidRDefault="009D4AA3" w14:paraId="5B298AB0" w14:textId="77777777">
      <w:pPr>
        <w:autoSpaceDE w:val="0"/>
        <w:autoSpaceDN w:val="0"/>
        <w:adjustRightInd w:val="0"/>
        <w:spacing w:after="200"/>
        <w:jc w:val="both"/>
        <w:rPr>
          <w:rFonts w:cs="Arial"/>
          <w:lang w:bidi="he-IL"/>
        </w:rPr>
      </w:pPr>
      <w:r w:rsidRPr="00A61D09">
        <w:rPr>
          <w:rFonts w:cs="Arial"/>
          <w:lang w:bidi="he-IL"/>
        </w:rPr>
        <w:t xml:space="preserve">Example of </w:t>
      </w:r>
      <w:r w:rsidRPr="00A61D09" w:rsidR="0069248E">
        <w:rPr>
          <w:rFonts w:cs="Arial"/>
          <w:lang w:bidi="he-IL"/>
        </w:rPr>
        <w:t xml:space="preserve">Dispatch Availability Factor </w:t>
      </w:r>
      <w:r w:rsidRPr="00A61D09" w:rsidR="00497A1E">
        <w:rPr>
          <w:rFonts w:cs="Arial"/>
          <w:lang w:bidi="he-IL"/>
        </w:rPr>
        <w:t xml:space="preserve">for a month </w:t>
      </w:r>
      <w:r w:rsidRPr="00A61D09" w:rsidR="00497A1E">
        <w:rPr>
          <w:rFonts w:cs="Arial"/>
          <w:i/>
          <w:iCs/>
          <w:lang w:bidi="he-IL"/>
        </w:rPr>
        <w:t>m</w:t>
      </w:r>
      <w:r w:rsidRPr="00A61D09" w:rsidR="00497A1E">
        <w:rPr>
          <w:rFonts w:cs="Arial"/>
          <w:lang w:bidi="he-IL"/>
        </w:rPr>
        <w:t xml:space="preserve"> </w:t>
      </w:r>
      <w:r w:rsidRPr="00A61D09" w:rsidR="0069248E">
        <w:rPr>
          <w:rFonts w:cs="Arial"/>
          <w:lang w:bidi="he-IL"/>
        </w:rPr>
        <w:t>(</w:t>
      </w:r>
      <w:proofErr w:type="spellStart"/>
      <w:r w:rsidRPr="00A61D09" w:rsidR="0069248E">
        <w:rPr>
          <w:rFonts w:cs="Arial"/>
          <w:lang w:bidi="he-IL"/>
        </w:rPr>
        <w:t>DAF</w:t>
      </w:r>
      <w:r w:rsidRPr="00A61D09" w:rsidR="0069248E">
        <w:rPr>
          <w:rFonts w:cs="Arial"/>
          <w:vertAlign w:val="subscript"/>
          <w:lang w:bidi="he-IL"/>
        </w:rPr>
        <w:t>m</w:t>
      </w:r>
      <w:proofErr w:type="spellEnd"/>
      <w:r w:rsidRPr="00A61D09" w:rsidR="0069248E">
        <w:rPr>
          <w:rFonts w:cs="Arial"/>
          <w:lang w:bidi="he-IL"/>
        </w:rPr>
        <w:t xml:space="preserve">) </w:t>
      </w:r>
      <w:r w:rsidRPr="00A61D09">
        <w:rPr>
          <w:rFonts w:cs="Arial"/>
          <w:lang w:bidi="he-IL"/>
        </w:rPr>
        <w:t>based on the following assumed facts:</w:t>
      </w:r>
    </w:p>
    <w:p w:rsidRPr="00A61D09" w:rsidR="0079779A" w:rsidRDefault="009D4AA3" w14:paraId="63BA63DE" w14:textId="77777777">
      <w:pPr>
        <w:spacing w:after="240"/>
        <w:jc w:val="both"/>
        <w:textAlignment w:val="baseline"/>
        <w:rPr>
          <w:rFonts w:cs="Arial"/>
          <w:lang w:bidi="he-IL"/>
        </w:rPr>
      </w:pPr>
      <w:r w:rsidRPr="00A61D09">
        <w:rPr>
          <w:rFonts w:cs="Arial"/>
          <w:lang w:bidi="he-IL"/>
        </w:rPr>
        <w:t xml:space="preserve">The total number of hours during such month for which the Company provided a Dispatch Notice (On-Control </w:t>
      </w:r>
      <w:proofErr w:type="spellStart"/>
      <w:r w:rsidRPr="00A61D09">
        <w:rPr>
          <w:rFonts w:cs="Arial"/>
          <w:lang w:bidi="he-IL"/>
        </w:rPr>
        <w:t>Hours</w:t>
      </w:r>
      <w:r w:rsidRPr="00A61D09">
        <w:rPr>
          <w:rFonts w:cs="Arial"/>
          <w:vertAlign w:val="subscript"/>
        </w:rPr>
        <w:t>m</w:t>
      </w:r>
      <w:proofErr w:type="spellEnd"/>
      <w:r w:rsidRPr="00A61D09">
        <w:rPr>
          <w:rFonts w:cs="Arial"/>
        </w:rPr>
        <w:t>)</w:t>
      </w:r>
      <w:r w:rsidRPr="00A61D09">
        <w:rPr>
          <w:rFonts w:cs="Arial"/>
          <w:lang w:bidi="he-IL"/>
        </w:rPr>
        <w:t xml:space="preserve">: </w:t>
      </w:r>
      <w:r w:rsidRPr="00A61D09" w:rsidR="0069248E">
        <w:rPr>
          <w:rFonts w:cs="Arial"/>
          <w:lang w:bidi="he-IL"/>
        </w:rPr>
        <w:t>4</w:t>
      </w:r>
      <w:r w:rsidRPr="00A61D09">
        <w:rPr>
          <w:rFonts w:cs="Arial"/>
          <w:lang w:bidi="he-IL"/>
        </w:rPr>
        <w:t>0</w:t>
      </w:r>
    </w:p>
    <w:p w:rsidRPr="00A61D09" w:rsidR="009D4AA3" w:rsidRDefault="00497A1E" w14:paraId="00962500" w14:textId="77777777">
      <w:pPr>
        <w:spacing w:after="240"/>
        <w:jc w:val="both"/>
        <w:textAlignment w:val="baseline"/>
        <w:rPr>
          <w:rFonts w:cs="Arial"/>
          <w:lang w:bidi="he-IL"/>
        </w:rPr>
      </w:pPr>
      <w:r w:rsidRPr="00A61D09">
        <w:rPr>
          <w:rFonts w:cs="Arial"/>
          <w:lang w:eastAsia="x-none"/>
        </w:rPr>
        <w:t>The total number of hours during such month that the Facility was unable to operate in compliance with a Dispatch Notice</w:t>
      </w:r>
      <w:r w:rsidRPr="00A61D09">
        <w:rPr>
          <w:rFonts w:cs="Arial"/>
          <w:lang w:bidi="he-IL"/>
        </w:rPr>
        <w:t xml:space="preserve"> (</w:t>
      </w:r>
      <w:r w:rsidRPr="00A61D09" w:rsidR="009D4AA3">
        <w:rPr>
          <w:rFonts w:cs="Arial"/>
          <w:lang w:bidi="he-IL"/>
        </w:rPr>
        <w:t>Shortfall Hours</w:t>
      </w:r>
      <w:r w:rsidRPr="00A61D09">
        <w:rPr>
          <w:rFonts w:cs="Arial"/>
          <w:lang w:bidi="he-IL"/>
        </w:rPr>
        <w:t>)</w:t>
      </w:r>
      <w:r w:rsidRPr="00A61D09" w:rsidR="009D4AA3">
        <w:rPr>
          <w:rFonts w:cs="Arial"/>
          <w:lang w:bidi="he-IL"/>
        </w:rPr>
        <w:t xml:space="preserve">: </w:t>
      </w:r>
      <w:r w:rsidRPr="00A61D09" w:rsidR="0069248E">
        <w:rPr>
          <w:rFonts w:cs="Arial"/>
          <w:lang w:bidi="he-IL"/>
        </w:rPr>
        <w:t>1</w:t>
      </w:r>
    </w:p>
    <w:p w:rsidRPr="00A61D09" w:rsidR="00497A1E" w:rsidP="00497A1E" w:rsidRDefault="00497A1E" w14:paraId="1B163350" w14:textId="77777777">
      <w:pPr>
        <w:autoSpaceDE w:val="0"/>
        <w:autoSpaceDN w:val="0"/>
        <w:adjustRightInd w:val="0"/>
        <w:ind w:firstLine="720"/>
        <w:rPr>
          <w:rFonts w:cs="Arial"/>
          <w:color w:val="010101"/>
        </w:rPr>
      </w:pPr>
      <w:proofErr w:type="spellStart"/>
      <w:r w:rsidRPr="00A61D09">
        <w:rPr>
          <w:rFonts w:cs="Arial"/>
          <w:lang w:eastAsia="x-none"/>
        </w:rPr>
        <w:t>DAF</w:t>
      </w:r>
      <w:r w:rsidRPr="00A61D09">
        <w:rPr>
          <w:rFonts w:cs="Arial"/>
          <w:vertAlign w:val="subscript"/>
        </w:rPr>
        <w:t>m</w:t>
      </w:r>
      <w:proofErr w:type="spellEnd"/>
      <w:r w:rsidRPr="00A61D09" w:rsidDel="0069248E">
        <w:rPr>
          <w:rFonts w:cs="Arial"/>
          <w:i/>
          <w:iCs/>
          <w:color w:val="010101"/>
        </w:rPr>
        <w:t xml:space="preserve"> </w:t>
      </w:r>
      <w:r w:rsidRPr="00A61D09">
        <w:rPr>
          <w:rFonts w:cs="Arial"/>
          <w:color w:val="010101"/>
        </w:rPr>
        <w:t>= 1 / 40 = 0.025</w:t>
      </w:r>
    </w:p>
    <w:p w:rsidRPr="00A61D09" w:rsidR="00497A1E" w:rsidP="00BA6F11" w:rsidRDefault="00497A1E" w14:paraId="3DBB5463" w14:textId="77777777">
      <w:pPr>
        <w:autoSpaceDE w:val="0"/>
        <w:autoSpaceDN w:val="0"/>
        <w:adjustRightInd w:val="0"/>
        <w:ind w:firstLine="720"/>
        <w:rPr>
          <w:rFonts w:cs="Arial"/>
          <w:color w:val="010101"/>
        </w:rPr>
      </w:pPr>
    </w:p>
    <w:p w:rsidR="00BD6FE5" w:rsidRDefault="00BD6FE5" w14:paraId="56A13484" w14:textId="77777777">
      <w:pPr>
        <w:rPr>
          <w:rFonts w:cs="Arial"/>
          <w:lang w:bidi="he-IL"/>
        </w:rPr>
      </w:pPr>
      <w:r>
        <w:rPr>
          <w:rFonts w:cs="Arial"/>
          <w:lang w:bidi="he-IL"/>
        </w:rPr>
        <w:br w:type="page"/>
      </w:r>
    </w:p>
    <w:p w:rsidRPr="00A61D09" w:rsidR="009D4AA3" w:rsidRDefault="0069248E" w14:paraId="01688652" w14:textId="77777777">
      <w:pPr>
        <w:spacing w:after="240"/>
        <w:jc w:val="both"/>
        <w:textAlignment w:val="baseline"/>
        <w:rPr>
          <w:rFonts w:cs="Arial"/>
          <w:lang w:bidi="he-IL"/>
        </w:rPr>
      </w:pPr>
      <w:r w:rsidRPr="00A61D09">
        <w:rPr>
          <w:rFonts w:cs="Arial"/>
          <w:lang w:bidi="he-IL"/>
        </w:rPr>
        <w:lastRenderedPageBreak/>
        <w:t xml:space="preserve">Sample Calculation for Non-Shortfall Hour: </w:t>
      </w:r>
    </w:p>
    <w:tbl>
      <w:tblPr>
        <w:tblW w:w="7555" w:type="dxa"/>
        <w:tblInd w:w="113" w:type="dxa"/>
        <w:tblLook w:val="04A0" w:firstRow="1" w:lastRow="0" w:firstColumn="1" w:lastColumn="0" w:noHBand="0" w:noVBand="1"/>
      </w:tblPr>
      <w:tblGrid>
        <w:gridCol w:w="960"/>
        <w:gridCol w:w="1200"/>
        <w:gridCol w:w="1150"/>
        <w:gridCol w:w="1560"/>
        <w:gridCol w:w="1217"/>
        <w:gridCol w:w="1150"/>
        <w:gridCol w:w="318"/>
      </w:tblGrid>
      <w:tr w:rsidRPr="00A61D09" w:rsidR="00A61D09" w:rsidTr="00A61D09" w14:paraId="31691A81" w14:textId="77777777">
        <w:trPr>
          <w:trHeight w:val="840"/>
        </w:trPr>
        <w:tc>
          <w:tcPr>
            <w:tcW w:w="960" w:type="dxa"/>
            <w:tcBorders>
              <w:top w:val="single" w:color="auto" w:sz="4" w:space="0"/>
              <w:left w:val="single" w:color="auto" w:sz="4" w:space="0"/>
              <w:bottom w:val="single" w:color="auto" w:sz="4" w:space="0"/>
              <w:right w:val="single" w:color="auto" w:sz="4" w:space="0"/>
            </w:tcBorders>
            <w:shd w:val="clear" w:color="000000" w:fill="D0CECE"/>
            <w:vAlign w:val="center"/>
            <w:hideMark/>
          </w:tcPr>
          <w:p w:rsidRPr="00A61D09" w:rsidR="007A3F6D" w:rsidP="007A3F6D" w:rsidRDefault="007A3F6D" w14:paraId="21F5AD84" w14:textId="77777777">
            <w:pPr>
              <w:jc w:val="center"/>
              <w:rPr>
                <w:rFonts w:cs="Arial"/>
                <w:color w:val="000000"/>
              </w:rPr>
            </w:pPr>
            <w:r w:rsidRPr="00A61D09">
              <w:rPr>
                <w:rFonts w:cs="Arial"/>
                <w:color w:val="000000"/>
              </w:rPr>
              <w:t>Hour i</w:t>
            </w:r>
          </w:p>
        </w:tc>
        <w:tc>
          <w:tcPr>
            <w:tcW w:w="1200" w:type="dxa"/>
            <w:tcBorders>
              <w:top w:val="single" w:color="auto" w:sz="4" w:space="0"/>
              <w:left w:val="nil"/>
              <w:bottom w:val="single" w:color="auto" w:sz="4" w:space="0"/>
              <w:right w:val="single" w:color="auto" w:sz="4" w:space="0"/>
            </w:tcBorders>
            <w:shd w:val="clear" w:color="000000" w:fill="D0CECE"/>
            <w:vAlign w:val="center"/>
            <w:hideMark/>
          </w:tcPr>
          <w:p w:rsidRPr="00A61D09" w:rsidR="007A3F6D" w:rsidP="007A3F6D" w:rsidRDefault="007A3F6D" w14:paraId="690E5D7F" w14:textId="77777777">
            <w:pPr>
              <w:jc w:val="center"/>
              <w:rPr>
                <w:rFonts w:cs="Arial"/>
                <w:color w:val="000000"/>
              </w:rPr>
            </w:pPr>
            <w:r w:rsidRPr="00A61D09">
              <w:rPr>
                <w:rFonts w:cs="Arial"/>
                <w:color w:val="000000"/>
              </w:rPr>
              <w:t>5 minute Interval</w:t>
            </w:r>
          </w:p>
        </w:tc>
        <w:tc>
          <w:tcPr>
            <w:tcW w:w="1100" w:type="dxa"/>
            <w:tcBorders>
              <w:top w:val="single" w:color="auto" w:sz="4" w:space="0"/>
              <w:left w:val="nil"/>
              <w:bottom w:val="single" w:color="auto" w:sz="4" w:space="0"/>
              <w:right w:val="single" w:color="auto" w:sz="4" w:space="0"/>
            </w:tcBorders>
            <w:shd w:val="clear" w:color="000000" w:fill="D0CECE"/>
            <w:vAlign w:val="center"/>
            <w:hideMark/>
          </w:tcPr>
          <w:p w:rsidRPr="00A61D09" w:rsidR="007A3F6D" w:rsidP="007A3F6D" w:rsidRDefault="007A3F6D" w14:paraId="6725AD7C" w14:textId="77777777">
            <w:pPr>
              <w:jc w:val="center"/>
              <w:rPr>
                <w:rFonts w:cs="Arial"/>
                <w:color w:val="000000"/>
              </w:rPr>
            </w:pPr>
            <w:r w:rsidRPr="00A61D09">
              <w:rPr>
                <w:rFonts w:cs="Arial"/>
                <w:color w:val="000000"/>
              </w:rPr>
              <w:t>Dispatch Notice (MW)</w:t>
            </w:r>
          </w:p>
        </w:tc>
        <w:tc>
          <w:tcPr>
            <w:tcW w:w="1560" w:type="dxa"/>
            <w:tcBorders>
              <w:top w:val="single" w:color="auto" w:sz="4" w:space="0"/>
              <w:left w:val="nil"/>
              <w:bottom w:val="single" w:color="auto" w:sz="4" w:space="0"/>
              <w:right w:val="single" w:color="auto" w:sz="4" w:space="0"/>
            </w:tcBorders>
            <w:shd w:val="clear" w:color="000000" w:fill="D0CECE"/>
            <w:vAlign w:val="center"/>
            <w:hideMark/>
          </w:tcPr>
          <w:p w:rsidRPr="00A61D09" w:rsidR="007A3F6D" w:rsidP="007A3F6D" w:rsidRDefault="007A3F6D" w14:paraId="2B7D5633" w14:textId="77777777">
            <w:pPr>
              <w:jc w:val="center"/>
              <w:rPr>
                <w:rFonts w:cs="Arial"/>
                <w:color w:val="000000"/>
              </w:rPr>
            </w:pPr>
            <w:r w:rsidRPr="00A61D09">
              <w:rPr>
                <w:rFonts w:cs="Arial"/>
                <w:color w:val="000000"/>
              </w:rPr>
              <w:t>Energy Storage System Output (MW)</w:t>
            </w:r>
          </w:p>
        </w:tc>
        <w:tc>
          <w:tcPr>
            <w:tcW w:w="1140" w:type="dxa"/>
            <w:tcBorders>
              <w:top w:val="single" w:color="auto" w:sz="4" w:space="0"/>
              <w:left w:val="nil"/>
              <w:bottom w:val="single" w:color="auto" w:sz="4" w:space="0"/>
              <w:right w:val="single" w:color="auto" w:sz="4" w:space="0"/>
            </w:tcBorders>
            <w:shd w:val="clear" w:color="000000" w:fill="D0CECE"/>
            <w:vAlign w:val="center"/>
            <w:hideMark/>
          </w:tcPr>
          <w:p w:rsidRPr="00A61D09" w:rsidR="007A3F6D" w:rsidP="007A3F6D" w:rsidRDefault="007A3F6D" w14:paraId="0260A871" w14:textId="77777777">
            <w:pPr>
              <w:jc w:val="center"/>
              <w:rPr>
                <w:rFonts w:cs="Arial"/>
                <w:color w:val="000000"/>
              </w:rPr>
            </w:pPr>
            <w:r w:rsidRPr="00A61D09">
              <w:rPr>
                <w:rFonts w:cs="Arial"/>
                <w:color w:val="000000"/>
              </w:rPr>
              <w:t xml:space="preserve">Absolute Value of </w:t>
            </w:r>
            <w:proofErr w:type="gramStart"/>
            <w:r w:rsidRPr="00A61D09">
              <w:rPr>
                <w:rFonts w:cs="Arial"/>
                <w:color w:val="000000"/>
              </w:rPr>
              <w:t>the  5</w:t>
            </w:r>
            <w:proofErr w:type="gramEnd"/>
            <w:r w:rsidRPr="00A61D09">
              <w:rPr>
                <w:rFonts w:cs="Arial"/>
                <w:color w:val="000000"/>
              </w:rPr>
              <w:t>- Minute Deviation</w:t>
            </w:r>
            <w:r w:rsidRPr="00A61D09" w:rsidR="00861168">
              <w:rPr>
                <w:rFonts w:cs="Arial"/>
                <w:color w:val="000000"/>
              </w:rPr>
              <w:t xml:space="preserve"> in the Facility Output</w:t>
            </w:r>
            <w:r w:rsidRPr="00A61D09">
              <w:rPr>
                <w:rFonts w:cs="Arial"/>
                <w:color w:val="000000"/>
              </w:rPr>
              <w:t xml:space="preserve"> (MW)</w:t>
            </w:r>
          </w:p>
        </w:tc>
        <w:tc>
          <w:tcPr>
            <w:tcW w:w="1140" w:type="dxa"/>
            <w:tcBorders>
              <w:top w:val="single" w:color="auto" w:sz="4" w:space="0"/>
              <w:left w:val="nil"/>
              <w:bottom w:val="single" w:color="auto" w:sz="4" w:space="0"/>
              <w:right w:val="nil"/>
            </w:tcBorders>
            <w:shd w:val="clear" w:color="000000" w:fill="D0CECE"/>
            <w:vAlign w:val="center"/>
          </w:tcPr>
          <w:p w:rsidRPr="00A61D09" w:rsidR="007A3F6D" w:rsidP="007A3F6D" w:rsidRDefault="007A3F6D" w14:paraId="512A9638" w14:textId="77777777">
            <w:pPr>
              <w:jc w:val="center"/>
              <w:rPr>
                <w:rFonts w:cs="Arial"/>
                <w:color w:val="000000"/>
              </w:rPr>
            </w:pPr>
            <w:r w:rsidRPr="00A61D09">
              <w:rPr>
                <w:rFonts w:cs="Arial"/>
                <w:color w:val="000000"/>
              </w:rPr>
              <w:t xml:space="preserve">Absolute Value of the Dispatch Notice </w:t>
            </w:r>
            <w:r w:rsidRPr="00A61D09" w:rsidR="00861168">
              <w:rPr>
                <w:rFonts w:cs="Arial"/>
                <w:color w:val="000000"/>
              </w:rPr>
              <w:t xml:space="preserve">for the Facility Output </w:t>
            </w:r>
            <w:r w:rsidRPr="00A61D09">
              <w:rPr>
                <w:rFonts w:cs="Arial"/>
                <w:color w:val="000000"/>
              </w:rPr>
              <w:t>(MW)</w:t>
            </w:r>
          </w:p>
        </w:tc>
        <w:tc>
          <w:tcPr>
            <w:tcW w:w="455" w:type="dxa"/>
            <w:tcBorders>
              <w:top w:val="single" w:color="auto" w:sz="4" w:space="0"/>
              <w:left w:val="nil"/>
              <w:bottom w:val="single" w:color="auto" w:sz="4" w:space="0"/>
              <w:right w:val="single" w:color="auto" w:sz="4" w:space="0"/>
            </w:tcBorders>
            <w:shd w:val="clear" w:color="000000" w:fill="D0CECE"/>
          </w:tcPr>
          <w:p w:rsidRPr="00A61D09" w:rsidR="007A3F6D" w:rsidP="007A3F6D" w:rsidRDefault="007A3F6D" w14:paraId="69D1D1C3" w14:textId="77777777">
            <w:pPr>
              <w:jc w:val="center"/>
              <w:rPr>
                <w:rFonts w:cs="Arial"/>
                <w:color w:val="000000"/>
              </w:rPr>
            </w:pPr>
          </w:p>
        </w:tc>
      </w:tr>
      <w:tr w:rsidRPr="00A61D09" w:rsidR="007A3F6D" w:rsidTr="00A61D09" w14:paraId="20389C6D"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282A9996"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552D75A" w14:textId="77777777">
            <w:pPr>
              <w:jc w:val="center"/>
              <w:rPr>
                <w:rFonts w:cs="Arial"/>
                <w:color w:val="000000"/>
              </w:rPr>
            </w:pPr>
            <w:r w:rsidRPr="00A61D09">
              <w:rPr>
                <w:rFonts w:cs="Arial"/>
                <w:color w:val="000000"/>
              </w:rPr>
              <w:t>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561C5297"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17993BDB"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C9A0198"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7A3F6D" w:rsidP="007A3F6D" w:rsidRDefault="007A3F6D" w14:paraId="6B3C1788" w14:textId="77777777">
            <w:pPr>
              <w:jc w:val="right"/>
              <w:rPr>
                <w:rFonts w:cs="Arial"/>
                <w:color w:val="000000"/>
              </w:rPr>
            </w:pPr>
            <w:r w:rsidRPr="00A61D09">
              <w:rPr>
                <w:rFonts w:cs="Arial"/>
                <w:color w:val="000000"/>
              </w:rPr>
              <w:t xml:space="preserve"> 90</w:t>
            </w:r>
          </w:p>
        </w:tc>
        <w:tc>
          <w:tcPr>
            <w:tcW w:w="455" w:type="dxa"/>
            <w:tcBorders>
              <w:top w:val="nil"/>
              <w:left w:val="nil"/>
              <w:bottom w:val="single" w:color="auto" w:sz="4" w:space="0"/>
              <w:right w:val="single" w:color="auto" w:sz="4" w:space="0"/>
            </w:tcBorders>
          </w:tcPr>
          <w:p w:rsidRPr="00A61D09" w:rsidR="007A3F6D" w:rsidP="007A3F6D" w:rsidRDefault="007A3F6D" w14:paraId="7B5FAB39" w14:textId="77777777">
            <w:pPr>
              <w:jc w:val="right"/>
              <w:rPr>
                <w:rFonts w:cs="Arial"/>
                <w:color w:val="000000"/>
              </w:rPr>
            </w:pPr>
          </w:p>
        </w:tc>
      </w:tr>
      <w:tr w:rsidRPr="00A61D09" w:rsidR="007A3F6D" w:rsidTr="00A61D09" w14:paraId="73C9514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36D5B8AC"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401A655E" w14:textId="77777777">
            <w:pPr>
              <w:jc w:val="center"/>
              <w:rPr>
                <w:rFonts w:cs="Arial"/>
                <w:color w:val="000000"/>
              </w:rPr>
            </w:pPr>
            <w:r w:rsidRPr="00A61D09">
              <w:rPr>
                <w:rFonts w:cs="Arial"/>
                <w:color w:val="000000"/>
              </w:rPr>
              <w:t>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4FAF9A8B"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1EC8A6B5"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12B029ED"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7A3F6D" w:rsidP="007A3F6D" w:rsidRDefault="007A3F6D" w14:paraId="0B45171B"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74942E83" w14:textId="77777777">
            <w:pPr>
              <w:jc w:val="right"/>
              <w:rPr>
                <w:rFonts w:cs="Arial"/>
                <w:color w:val="000000"/>
              </w:rPr>
            </w:pPr>
          </w:p>
        </w:tc>
      </w:tr>
      <w:tr w:rsidRPr="00A61D09" w:rsidR="007A3F6D" w:rsidTr="00A61D09" w14:paraId="6FD3EAD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0D3FC3AC"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2425DD9" w14:textId="77777777">
            <w:pPr>
              <w:jc w:val="center"/>
              <w:rPr>
                <w:rFonts w:cs="Arial"/>
                <w:color w:val="000000"/>
              </w:rPr>
            </w:pPr>
            <w:r w:rsidRPr="00A61D09">
              <w:rPr>
                <w:rFonts w:cs="Arial"/>
                <w:color w:val="000000"/>
              </w:rPr>
              <w:t>3</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271728CC"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3E84E137" w14:textId="77777777">
            <w:pPr>
              <w:jc w:val="right"/>
              <w:rPr>
                <w:rFonts w:cs="Arial"/>
                <w:color w:val="000000"/>
              </w:rPr>
            </w:pPr>
            <w:r w:rsidRPr="00A61D09">
              <w:rPr>
                <w:rFonts w:cs="Arial"/>
                <w:color w:val="000000"/>
              </w:rPr>
              <w:t>-88</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AC0E349" w14:textId="77777777">
            <w:pPr>
              <w:jc w:val="right"/>
              <w:rPr>
                <w:rFonts w:cs="Arial"/>
                <w:color w:val="000000"/>
              </w:rPr>
            </w:pPr>
            <w:r w:rsidRPr="00A61D09">
              <w:rPr>
                <w:rFonts w:cs="Arial"/>
                <w:color w:val="000000"/>
              </w:rPr>
              <w:t>2</w:t>
            </w:r>
          </w:p>
        </w:tc>
        <w:tc>
          <w:tcPr>
            <w:tcW w:w="1140" w:type="dxa"/>
            <w:tcBorders>
              <w:top w:val="nil"/>
              <w:left w:val="nil"/>
              <w:bottom w:val="single" w:color="auto" w:sz="4" w:space="0"/>
              <w:right w:val="nil"/>
            </w:tcBorders>
            <w:vAlign w:val="bottom"/>
          </w:tcPr>
          <w:p w:rsidRPr="00A61D09" w:rsidR="007A3F6D" w:rsidP="007A3F6D" w:rsidRDefault="007A3F6D" w14:paraId="24DC1501"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2A1E84A8" w14:textId="77777777">
            <w:pPr>
              <w:jc w:val="right"/>
              <w:rPr>
                <w:rFonts w:cs="Arial"/>
                <w:color w:val="000000"/>
              </w:rPr>
            </w:pPr>
          </w:p>
        </w:tc>
      </w:tr>
      <w:tr w:rsidRPr="00A61D09" w:rsidR="007A3F6D" w:rsidTr="00A61D09" w14:paraId="062848AD"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2FE4EA5C"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7BFFA45C" w14:textId="77777777">
            <w:pPr>
              <w:jc w:val="center"/>
              <w:rPr>
                <w:rFonts w:cs="Arial"/>
                <w:color w:val="000000"/>
              </w:rPr>
            </w:pPr>
            <w:r w:rsidRPr="00A61D09">
              <w:rPr>
                <w:rFonts w:cs="Arial"/>
                <w:color w:val="000000"/>
              </w:rPr>
              <w:t>4</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19514E91"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5F3FCEF1"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2DF2CB38"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7A3F6D" w:rsidP="007A3F6D" w:rsidRDefault="007A3F6D" w14:paraId="566AEAC0"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5EBCA58F" w14:textId="77777777">
            <w:pPr>
              <w:jc w:val="right"/>
              <w:rPr>
                <w:rFonts w:cs="Arial"/>
                <w:color w:val="000000"/>
              </w:rPr>
            </w:pPr>
          </w:p>
        </w:tc>
      </w:tr>
      <w:tr w:rsidRPr="00A61D09" w:rsidR="007A3F6D" w:rsidTr="00A61D09" w14:paraId="17A83F68"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5278D3A3"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05BF64D" w14:textId="77777777">
            <w:pPr>
              <w:jc w:val="center"/>
              <w:rPr>
                <w:rFonts w:cs="Arial"/>
                <w:color w:val="000000"/>
              </w:rPr>
            </w:pPr>
            <w:r w:rsidRPr="00A61D09">
              <w:rPr>
                <w:rFonts w:cs="Arial"/>
                <w:color w:val="000000"/>
              </w:rPr>
              <w:t>5</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3049288"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41764BD7"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72485690"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7A3F6D" w:rsidP="007A3F6D" w:rsidRDefault="007A3F6D" w14:paraId="5C2DBBE3"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7A3F6D" w:rsidP="007A3F6D" w:rsidRDefault="007A3F6D" w14:paraId="618DCAC1" w14:textId="77777777">
            <w:pPr>
              <w:jc w:val="right"/>
              <w:rPr>
                <w:rFonts w:cs="Arial"/>
                <w:color w:val="000000"/>
              </w:rPr>
            </w:pPr>
          </w:p>
        </w:tc>
      </w:tr>
      <w:tr w:rsidRPr="00A61D09" w:rsidR="007A3F6D" w:rsidTr="00A61D09" w14:paraId="708B92F7"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2C9544D6"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757E873A" w14:textId="77777777">
            <w:pPr>
              <w:jc w:val="center"/>
              <w:rPr>
                <w:rFonts w:cs="Arial"/>
                <w:color w:val="000000"/>
              </w:rPr>
            </w:pPr>
            <w:r w:rsidRPr="00A61D09">
              <w:rPr>
                <w:rFonts w:cs="Arial"/>
                <w:color w:val="000000"/>
              </w:rPr>
              <w:t>6</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1216B2D6"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BD76B7A"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242CF7B"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7A3F6D" w:rsidP="007A3F6D" w:rsidRDefault="007A3F6D" w14:paraId="381E894F"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7A3F6D" w:rsidP="007A3F6D" w:rsidRDefault="007A3F6D" w14:paraId="06867D8F" w14:textId="77777777">
            <w:pPr>
              <w:jc w:val="right"/>
              <w:rPr>
                <w:rFonts w:cs="Arial"/>
                <w:color w:val="000000"/>
              </w:rPr>
            </w:pPr>
          </w:p>
        </w:tc>
      </w:tr>
      <w:tr w:rsidRPr="00A61D09" w:rsidR="007A3F6D" w:rsidTr="00A61D09" w14:paraId="1EDC1FEE"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3591FA87"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3C44DCFE" w14:textId="77777777">
            <w:pPr>
              <w:jc w:val="center"/>
              <w:rPr>
                <w:rFonts w:cs="Arial"/>
                <w:color w:val="000000"/>
              </w:rPr>
            </w:pPr>
            <w:r w:rsidRPr="00A61D09">
              <w:rPr>
                <w:rFonts w:cs="Arial"/>
                <w:color w:val="000000"/>
              </w:rPr>
              <w:t>7</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38DECED8"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56B214C0"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8D2F341"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7A3F6D" w:rsidP="007A3F6D" w:rsidRDefault="007A3F6D" w14:paraId="1FCAAE80"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7A3F6D" w:rsidP="007A3F6D" w:rsidRDefault="007A3F6D" w14:paraId="3D952C95" w14:textId="77777777">
            <w:pPr>
              <w:jc w:val="right"/>
              <w:rPr>
                <w:rFonts w:cs="Arial"/>
                <w:color w:val="000000"/>
              </w:rPr>
            </w:pPr>
          </w:p>
        </w:tc>
      </w:tr>
      <w:tr w:rsidRPr="00A61D09" w:rsidR="007A3F6D" w:rsidTr="00A61D09" w14:paraId="478103CC"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7DC1B218"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ADA2B3F" w14:textId="77777777">
            <w:pPr>
              <w:jc w:val="center"/>
              <w:rPr>
                <w:rFonts w:cs="Arial"/>
                <w:color w:val="000000"/>
              </w:rPr>
            </w:pPr>
            <w:r w:rsidRPr="00A61D09">
              <w:rPr>
                <w:rFonts w:cs="Arial"/>
                <w:color w:val="000000"/>
              </w:rPr>
              <w:t>8</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EB9D258"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9C77E97"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2550542E"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7A3F6D" w:rsidP="007A3F6D" w:rsidRDefault="007A3F6D" w14:paraId="15BA1CB7" w14:textId="77777777">
            <w:pPr>
              <w:jc w:val="right"/>
              <w:rPr>
                <w:rFonts w:cs="Arial"/>
                <w:color w:val="000000"/>
              </w:rPr>
            </w:pPr>
            <w:r w:rsidRPr="00A61D09">
              <w:rPr>
                <w:rFonts w:cs="Arial"/>
                <w:color w:val="000000"/>
              </w:rPr>
              <w:t>0</w:t>
            </w:r>
          </w:p>
        </w:tc>
        <w:tc>
          <w:tcPr>
            <w:tcW w:w="455" w:type="dxa"/>
            <w:tcBorders>
              <w:top w:val="nil"/>
              <w:left w:val="nil"/>
              <w:bottom w:val="single" w:color="auto" w:sz="4" w:space="0"/>
              <w:right w:val="single" w:color="auto" w:sz="4" w:space="0"/>
            </w:tcBorders>
          </w:tcPr>
          <w:p w:rsidRPr="00A61D09" w:rsidR="007A3F6D" w:rsidP="007A3F6D" w:rsidRDefault="007A3F6D" w14:paraId="1FEC4E35" w14:textId="77777777">
            <w:pPr>
              <w:jc w:val="right"/>
              <w:rPr>
                <w:rFonts w:cs="Arial"/>
                <w:color w:val="000000"/>
              </w:rPr>
            </w:pPr>
          </w:p>
        </w:tc>
      </w:tr>
      <w:tr w:rsidRPr="00A61D09" w:rsidR="007A3F6D" w:rsidTr="00A61D09" w14:paraId="0DA1D992"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3B7B79F5"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B028579" w14:textId="77777777">
            <w:pPr>
              <w:jc w:val="center"/>
              <w:rPr>
                <w:rFonts w:cs="Arial"/>
                <w:color w:val="000000"/>
              </w:rPr>
            </w:pPr>
            <w:r w:rsidRPr="00A61D09">
              <w:rPr>
                <w:rFonts w:cs="Arial"/>
                <w:color w:val="000000"/>
              </w:rPr>
              <w:t>9</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7AC721C9"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44680A04" w14:textId="77777777">
            <w:pPr>
              <w:jc w:val="right"/>
              <w:rPr>
                <w:rFonts w:cs="Arial"/>
                <w:color w:val="000000"/>
              </w:rPr>
            </w:pPr>
            <w:r w:rsidRPr="00A61D09">
              <w:rPr>
                <w:rFonts w:cs="Arial"/>
                <w:color w:val="000000"/>
              </w:rPr>
              <w:t>88</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65507CE" w14:textId="77777777">
            <w:pPr>
              <w:jc w:val="right"/>
              <w:rPr>
                <w:rFonts w:cs="Arial"/>
                <w:color w:val="000000"/>
              </w:rPr>
            </w:pPr>
            <w:r w:rsidRPr="00A61D09">
              <w:rPr>
                <w:rFonts w:cs="Arial"/>
                <w:color w:val="000000"/>
              </w:rPr>
              <w:t>2</w:t>
            </w:r>
          </w:p>
        </w:tc>
        <w:tc>
          <w:tcPr>
            <w:tcW w:w="1140" w:type="dxa"/>
            <w:tcBorders>
              <w:top w:val="nil"/>
              <w:left w:val="nil"/>
              <w:bottom w:val="single" w:color="auto" w:sz="4" w:space="0"/>
              <w:right w:val="nil"/>
            </w:tcBorders>
            <w:vAlign w:val="bottom"/>
          </w:tcPr>
          <w:p w:rsidRPr="00A61D09" w:rsidR="007A3F6D" w:rsidP="007A3F6D" w:rsidRDefault="007A3F6D" w14:paraId="67194732"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4FCD2F71" w14:textId="77777777">
            <w:pPr>
              <w:jc w:val="right"/>
              <w:rPr>
                <w:rFonts w:cs="Arial"/>
                <w:color w:val="000000"/>
              </w:rPr>
            </w:pPr>
          </w:p>
        </w:tc>
      </w:tr>
      <w:tr w:rsidRPr="00A61D09" w:rsidR="007A3F6D" w:rsidTr="00A61D09" w14:paraId="2D685AD3"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15246F83"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31D6B448" w14:textId="77777777">
            <w:pPr>
              <w:jc w:val="center"/>
              <w:rPr>
                <w:rFonts w:cs="Arial"/>
                <w:color w:val="000000"/>
              </w:rPr>
            </w:pPr>
            <w:r w:rsidRPr="00A61D09">
              <w:rPr>
                <w:rFonts w:cs="Arial"/>
                <w:color w:val="000000"/>
              </w:rPr>
              <w:t>10</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14CEF0C5"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1F77B66"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E45DCFB"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7A3F6D" w:rsidP="007A3F6D" w:rsidRDefault="007A3F6D" w14:paraId="093B7CBA"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4A2CA2A4" w14:textId="77777777">
            <w:pPr>
              <w:jc w:val="right"/>
              <w:rPr>
                <w:rFonts w:cs="Arial"/>
                <w:color w:val="000000"/>
              </w:rPr>
            </w:pPr>
          </w:p>
        </w:tc>
      </w:tr>
      <w:tr w:rsidRPr="00A61D09" w:rsidR="007A3F6D" w:rsidTr="00A61D09" w14:paraId="6811745A"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1771240D"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A80C091" w14:textId="77777777">
            <w:pPr>
              <w:jc w:val="center"/>
              <w:rPr>
                <w:rFonts w:cs="Arial"/>
                <w:color w:val="000000"/>
              </w:rPr>
            </w:pPr>
            <w:r w:rsidRPr="00A61D09">
              <w:rPr>
                <w:rFonts w:cs="Arial"/>
                <w:color w:val="000000"/>
              </w:rPr>
              <w:t>11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68685D34"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6CC8EA1"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708857D4"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7A3F6D" w:rsidP="007A3F6D" w:rsidRDefault="007A3F6D" w14:paraId="399E59B3"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0AE40145" w14:textId="77777777">
            <w:pPr>
              <w:jc w:val="right"/>
              <w:rPr>
                <w:rFonts w:cs="Arial"/>
                <w:color w:val="000000"/>
              </w:rPr>
            </w:pPr>
          </w:p>
        </w:tc>
      </w:tr>
      <w:tr w:rsidRPr="00A61D09" w:rsidR="007A3F6D" w:rsidTr="00A61D09" w14:paraId="77881F6F"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7A3F6D" w:rsidP="007A3F6D" w:rsidRDefault="007A3F6D" w14:paraId="00A99B0F"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5AE3351" w14:textId="77777777">
            <w:pPr>
              <w:jc w:val="center"/>
              <w:rPr>
                <w:rFonts w:cs="Arial"/>
                <w:color w:val="000000"/>
              </w:rPr>
            </w:pPr>
            <w:r w:rsidRPr="00A61D09">
              <w:rPr>
                <w:rFonts w:cs="Arial"/>
                <w:color w:val="000000"/>
              </w:rPr>
              <w:t>12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6F36BFE"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4382ABC6"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7A3F6D" w:rsidP="007A3F6D" w:rsidRDefault="007A3F6D" w14:paraId="0704A3DB"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7A3F6D" w:rsidP="007A3F6D" w:rsidRDefault="007A3F6D" w14:paraId="580EB4D7" w14:textId="77777777">
            <w:pPr>
              <w:jc w:val="right"/>
              <w:rPr>
                <w:rFonts w:cs="Arial"/>
                <w:color w:val="000000"/>
              </w:rPr>
            </w:pPr>
            <w:r w:rsidRPr="00A61D09">
              <w:rPr>
                <w:rFonts w:cs="Arial"/>
                <w:color w:val="000000"/>
              </w:rPr>
              <w:t>90</w:t>
            </w:r>
          </w:p>
        </w:tc>
        <w:tc>
          <w:tcPr>
            <w:tcW w:w="455" w:type="dxa"/>
            <w:tcBorders>
              <w:top w:val="nil"/>
              <w:left w:val="nil"/>
              <w:bottom w:val="single" w:color="auto" w:sz="4" w:space="0"/>
              <w:right w:val="single" w:color="auto" w:sz="4" w:space="0"/>
            </w:tcBorders>
          </w:tcPr>
          <w:p w:rsidRPr="00A61D09" w:rsidR="007A3F6D" w:rsidP="007A3F6D" w:rsidRDefault="007A3F6D" w14:paraId="473C835B" w14:textId="77777777">
            <w:pPr>
              <w:jc w:val="right"/>
              <w:rPr>
                <w:rFonts w:cs="Arial"/>
                <w:color w:val="000000"/>
              </w:rPr>
            </w:pPr>
          </w:p>
        </w:tc>
      </w:tr>
    </w:tbl>
    <w:p w:rsidRPr="00A61D09" w:rsidR="009D4AA3" w:rsidRDefault="009D4AA3" w14:paraId="3C2ADC50" w14:textId="77777777">
      <w:pPr>
        <w:spacing w:after="240"/>
        <w:jc w:val="both"/>
        <w:textAlignment w:val="baseline"/>
        <w:rPr>
          <w:rFonts w:cs="Arial"/>
          <w:lang w:bidi="he-IL"/>
        </w:rPr>
      </w:pPr>
    </w:p>
    <w:p w:rsidRPr="00A61D09" w:rsidR="006E047B" w:rsidP="0069248E" w:rsidRDefault="00D338F2" w14:paraId="5352AD9F" w14:textId="77777777">
      <w:pPr>
        <w:spacing w:after="240"/>
        <w:jc w:val="both"/>
        <w:textAlignment w:val="baseline"/>
        <w:rPr>
          <w:rFonts w:cs="Arial"/>
          <w:lang w:bidi="he-IL"/>
        </w:rPr>
      </w:pPr>
      <w:r w:rsidRPr="00A61D09">
        <w:rPr>
          <w:rFonts w:cs="Arial"/>
        </w:rPr>
        <w:t>The Shortfall Calculation is: The sum of the absolute value of the 5- minute deviations in the Facility Output/The sum of the absolute value of the 5- minute Dispatch Notices for the Facility Output =</w:t>
      </w:r>
      <w:r w:rsidRPr="00A61D09" w:rsidR="006E047B">
        <w:rPr>
          <w:rFonts w:cs="Arial"/>
          <w:lang w:bidi="he-IL"/>
        </w:rPr>
        <w:t>Sum</w:t>
      </w:r>
      <w:r w:rsidRPr="00A61D09">
        <w:rPr>
          <w:rFonts w:cs="Arial"/>
          <w:lang w:bidi="he-IL"/>
        </w:rPr>
        <w:t xml:space="preserve"> of</w:t>
      </w:r>
      <w:r w:rsidRPr="00A61D09" w:rsidR="006E047B">
        <w:rPr>
          <w:rFonts w:cs="Arial"/>
          <w:lang w:bidi="he-IL"/>
        </w:rPr>
        <w:t xml:space="preserve"> column 5</w:t>
      </w:r>
      <w:r w:rsidRPr="00A61D09" w:rsidR="00861168">
        <w:rPr>
          <w:rFonts w:cs="Arial"/>
          <w:lang w:bidi="he-IL"/>
        </w:rPr>
        <w:t xml:space="preserve"> in the table above</w:t>
      </w:r>
      <w:r w:rsidRPr="00A61D09" w:rsidR="006E047B">
        <w:rPr>
          <w:rFonts w:cs="Arial"/>
          <w:lang w:bidi="he-IL"/>
        </w:rPr>
        <w:t>/</w:t>
      </w:r>
      <w:r w:rsidRPr="00A61D09">
        <w:rPr>
          <w:rFonts w:cs="Arial"/>
          <w:lang w:bidi="he-IL"/>
        </w:rPr>
        <w:t xml:space="preserve">Sum of </w:t>
      </w:r>
      <w:r w:rsidRPr="00A61D09" w:rsidR="006E047B">
        <w:rPr>
          <w:rFonts w:cs="Arial"/>
          <w:lang w:bidi="he-IL"/>
        </w:rPr>
        <w:t>column 6</w:t>
      </w:r>
      <w:r w:rsidRPr="00A61D09" w:rsidR="00861168">
        <w:rPr>
          <w:rFonts w:cs="Arial"/>
          <w:lang w:bidi="he-IL"/>
        </w:rPr>
        <w:t xml:space="preserve"> in the table above</w:t>
      </w:r>
      <w:r w:rsidRPr="00A61D09">
        <w:rPr>
          <w:rFonts w:cs="Arial"/>
          <w:lang w:bidi="he-IL"/>
        </w:rPr>
        <w:t>=8/720=0.011</w:t>
      </w:r>
    </w:p>
    <w:p w:rsidRPr="00A61D09" w:rsidR="0032349E" w:rsidP="0032349E" w:rsidRDefault="0032349E" w14:paraId="25DB8E52" w14:textId="77777777">
      <w:pPr>
        <w:jc w:val="both"/>
        <w:rPr>
          <w:rFonts w:cs="Arial"/>
        </w:rPr>
      </w:pPr>
    </w:p>
    <w:p w:rsidRPr="00A61D09" w:rsidR="0032349E" w:rsidP="0032349E" w:rsidRDefault="00D338F2" w14:paraId="72EFA64B" w14:textId="77777777">
      <w:pPr>
        <w:jc w:val="both"/>
        <w:rPr>
          <w:rFonts w:cs="Arial"/>
        </w:rPr>
      </w:pPr>
      <w:r w:rsidRPr="00A61D09">
        <w:rPr>
          <w:rFonts w:cs="Arial"/>
        </w:rPr>
        <w:t xml:space="preserve">Since </w:t>
      </w:r>
      <w:r w:rsidRPr="00A61D09" w:rsidR="0032349E">
        <w:rPr>
          <w:rFonts w:cs="Arial"/>
        </w:rPr>
        <w:t xml:space="preserve">the Shortfall Calculation is less than 0.02 </w:t>
      </w:r>
      <w:r w:rsidRPr="00A61D09">
        <w:rPr>
          <w:rFonts w:cs="Arial"/>
        </w:rPr>
        <w:t xml:space="preserve">the hour is </w:t>
      </w:r>
      <w:r w:rsidRPr="00A61D09" w:rsidR="0032349E">
        <w:rPr>
          <w:rFonts w:cs="Arial"/>
        </w:rPr>
        <w:t>counted as a</w:t>
      </w:r>
      <w:r w:rsidRPr="00A61D09" w:rsidR="008A4443">
        <w:rPr>
          <w:rFonts w:cs="Arial"/>
        </w:rPr>
        <w:t xml:space="preserve"> Non-</w:t>
      </w:r>
      <w:r w:rsidRPr="00A61D09" w:rsidR="0032349E">
        <w:rPr>
          <w:rFonts w:cs="Arial"/>
        </w:rPr>
        <w:t xml:space="preserve"> Shortfall Hour.</w:t>
      </w:r>
    </w:p>
    <w:p w:rsidR="00BD6FE5" w:rsidP="0069248E" w:rsidRDefault="00BD6FE5" w14:paraId="6ECB8886" w14:textId="77777777">
      <w:pPr>
        <w:spacing w:after="240"/>
        <w:jc w:val="both"/>
        <w:textAlignment w:val="baseline"/>
        <w:rPr>
          <w:rFonts w:cs="Arial"/>
          <w:lang w:bidi="he-IL"/>
        </w:rPr>
      </w:pPr>
    </w:p>
    <w:p w:rsidR="00BD6FE5" w:rsidRDefault="00BD6FE5" w14:paraId="1141717F" w14:textId="77777777">
      <w:pPr>
        <w:rPr>
          <w:rFonts w:cs="Arial"/>
          <w:lang w:bidi="he-IL"/>
        </w:rPr>
      </w:pPr>
      <w:r>
        <w:rPr>
          <w:rFonts w:cs="Arial"/>
          <w:lang w:bidi="he-IL"/>
        </w:rPr>
        <w:br w:type="page"/>
      </w:r>
    </w:p>
    <w:p w:rsidRPr="00A61D09" w:rsidR="0069248E" w:rsidP="0069248E" w:rsidRDefault="0069248E" w14:paraId="16ABCF82" w14:textId="77777777">
      <w:pPr>
        <w:spacing w:after="240"/>
        <w:jc w:val="both"/>
        <w:textAlignment w:val="baseline"/>
        <w:rPr>
          <w:rFonts w:cs="Arial"/>
          <w:lang w:bidi="he-IL"/>
        </w:rPr>
      </w:pPr>
      <w:r w:rsidRPr="00A61D09">
        <w:rPr>
          <w:rFonts w:cs="Arial"/>
          <w:lang w:bidi="he-IL"/>
        </w:rPr>
        <w:lastRenderedPageBreak/>
        <w:t xml:space="preserve">Sample Calculation for Shortfall Hour: </w:t>
      </w:r>
    </w:p>
    <w:tbl>
      <w:tblPr>
        <w:tblW w:w="7465" w:type="dxa"/>
        <w:tblInd w:w="113" w:type="dxa"/>
        <w:tblLook w:val="04A0" w:firstRow="1" w:lastRow="0" w:firstColumn="1" w:lastColumn="0" w:noHBand="0" w:noVBand="1"/>
      </w:tblPr>
      <w:tblGrid>
        <w:gridCol w:w="960"/>
        <w:gridCol w:w="1200"/>
        <w:gridCol w:w="1150"/>
        <w:gridCol w:w="1560"/>
        <w:gridCol w:w="1217"/>
        <w:gridCol w:w="1150"/>
        <w:gridCol w:w="228"/>
      </w:tblGrid>
      <w:tr w:rsidRPr="00A61D09" w:rsidR="00A61D09" w:rsidTr="00A61D09" w14:paraId="244FFC91" w14:textId="77777777">
        <w:trPr>
          <w:trHeight w:val="840"/>
        </w:trPr>
        <w:tc>
          <w:tcPr>
            <w:tcW w:w="960" w:type="dxa"/>
            <w:tcBorders>
              <w:top w:val="single" w:color="auto" w:sz="4" w:space="0"/>
              <w:left w:val="single" w:color="auto" w:sz="4" w:space="0"/>
              <w:bottom w:val="single" w:color="auto" w:sz="4" w:space="0"/>
              <w:right w:val="single" w:color="auto" w:sz="4" w:space="0"/>
            </w:tcBorders>
            <w:shd w:val="clear" w:color="000000" w:fill="D0CECE"/>
            <w:vAlign w:val="center"/>
            <w:hideMark/>
          </w:tcPr>
          <w:p w:rsidRPr="00A61D09" w:rsidR="00861168" w:rsidP="00861168" w:rsidRDefault="00861168" w14:paraId="584474CF" w14:textId="77777777">
            <w:pPr>
              <w:jc w:val="center"/>
              <w:rPr>
                <w:rFonts w:cs="Arial"/>
                <w:color w:val="000000"/>
              </w:rPr>
            </w:pPr>
            <w:r w:rsidRPr="00A61D09">
              <w:rPr>
                <w:rFonts w:cs="Arial"/>
                <w:color w:val="000000"/>
              </w:rPr>
              <w:t>Hour i</w:t>
            </w:r>
          </w:p>
        </w:tc>
        <w:tc>
          <w:tcPr>
            <w:tcW w:w="1200" w:type="dxa"/>
            <w:tcBorders>
              <w:top w:val="single" w:color="auto" w:sz="4" w:space="0"/>
              <w:left w:val="nil"/>
              <w:bottom w:val="single" w:color="auto" w:sz="4" w:space="0"/>
              <w:right w:val="single" w:color="auto" w:sz="4" w:space="0"/>
            </w:tcBorders>
            <w:shd w:val="clear" w:color="000000" w:fill="D0CECE"/>
            <w:vAlign w:val="center"/>
            <w:hideMark/>
          </w:tcPr>
          <w:p w:rsidRPr="00A61D09" w:rsidR="00861168" w:rsidP="00861168" w:rsidRDefault="00861168" w14:paraId="55420715" w14:textId="77777777">
            <w:pPr>
              <w:jc w:val="center"/>
              <w:rPr>
                <w:rFonts w:cs="Arial"/>
                <w:color w:val="000000"/>
              </w:rPr>
            </w:pPr>
            <w:r w:rsidRPr="00A61D09">
              <w:rPr>
                <w:rFonts w:cs="Arial"/>
                <w:color w:val="000000"/>
              </w:rPr>
              <w:t>5 minute Interval</w:t>
            </w:r>
          </w:p>
        </w:tc>
        <w:tc>
          <w:tcPr>
            <w:tcW w:w="1100" w:type="dxa"/>
            <w:tcBorders>
              <w:top w:val="single" w:color="auto" w:sz="4" w:space="0"/>
              <w:left w:val="nil"/>
              <w:bottom w:val="single" w:color="auto" w:sz="4" w:space="0"/>
              <w:right w:val="single" w:color="auto" w:sz="4" w:space="0"/>
            </w:tcBorders>
            <w:shd w:val="clear" w:color="000000" w:fill="D0CECE"/>
            <w:vAlign w:val="center"/>
            <w:hideMark/>
          </w:tcPr>
          <w:p w:rsidRPr="00A61D09" w:rsidR="00861168" w:rsidP="00861168" w:rsidRDefault="00861168" w14:paraId="6116A152" w14:textId="77777777">
            <w:pPr>
              <w:jc w:val="center"/>
              <w:rPr>
                <w:rFonts w:cs="Arial"/>
                <w:color w:val="000000"/>
              </w:rPr>
            </w:pPr>
            <w:r w:rsidRPr="00A61D09">
              <w:rPr>
                <w:rFonts w:cs="Arial"/>
                <w:color w:val="000000"/>
              </w:rPr>
              <w:t>Dispatch Notice (MW)</w:t>
            </w:r>
          </w:p>
        </w:tc>
        <w:tc>
          <w:tcPr>
            <w:tcW w:w="1560" w:type="dxa"/>
            <w:tcBorders>
              <w:top w:val="single" w:color="auto" w:sz="4" w:space="0"/>
              <w:left w:val="nil"/>
              <w:bottom w:val="single" w:color="auto" w:sz="4" w:space="0"/>
              <w:right w:val="single" w:color="auto" w:sz="4" w:space="0"/>
            </w:tcBorders>
            <w:shd w:val="clear" w:color="000000" w:fill="D0CECE"/>
            <w:vAlign w:val="center"/>
            <w:hideMark/>
          </w:tcPr>
          <w:p w:rsidRPr="00A61D09" w:rsidR="00861168" w:rsidP="00861168" w:rsidRDefault="00861168" w14:paraId="3C37A7D2" w14:textId="77777777">
            <w:pPr>
              <w:jc w:val="center"/>
              <w:rPr>
                <w:rFonts w:cs="Arial"/>
                <w:color w:val="000000"/>
              </w:rPr>
            </w:pPr>
            <w:r w:rsidRPr="00A61D09">
              <w:rPr>
                <w:rFonts w:cs="Arial"/>
                <w:color w:val="000000"/>
              </w:rPr>
              <w:t>Energy Storage System Output (MW)</w:t>
            </w:r>
          </w:p>
        </w:tc>
        <w:tc>
          <w:tcPr>
            <w:tcW w:w="1140" w:type="dxa"/>
            <w:tcBorders>
              <w:top w:val="single" w:color="auto" w:sz="4" w:space="0"/>
              <w:left w:val="nil"/>
              <w:bottom w:val="single" w:color="auto" w:sz="4" w:space="0"/>
              <w:right w:val="single" w:color="auto" w:sz="4" w:space="0"/>
            </w:tcBorders>
            <w:shd w:val="clear" w:color="000000" w:fill="D0CECE"/>
            <w:vAlign w:val="center"/>
            <w:hideMark/>
          </w:tcPr>
          <w:p w:rsidRPr="00A61D09" w:rsidR="00861168" w:rsidP="00861168" w:rsidRDefault="00861168" w14:paraId="3E2E05BF" w14:textId="77777777">
            <w:pPr>
              <w:jc w:val="center"/>
              <w:rPr>
                <w:rFonts w:cs="Arial"/>
                <w:color w:val="000000"/>
              </w:rPr>
            </w:pPr>
            <w:r w:rsidRPr="00A61D09">
              <w:rPr>
                <w:rFonts w:cs="Arial"/>
                <w:color w:val="000000"/>
              </w:rPr>
              <w:t>Absolute Value of the 5- Minute Deviation in the Facility Output (MW)</w:t>
            </w:r>
          </w:p>
        </w:tc>
        <w:tc>
          <w:tcPr>
            <w:tcW w:w="1140" w:type="dxa"/>
            <w:tcBorders>
              <w:top w:val="single" w:color="auto" w:sz="4" w:space="0"/>
              <w:left w:val="nil"/>
              <w:bottom w:val="single" w:color="auto" w:sz="4" w:space="0"/>
              <w:right w:val="nil"/>
            </w:tcBorders>
            <w:shd w:val="clear" w:color="000000" w:fill="D0CECE"/>
            <w:vAlign w:val="center"/>
          </w:tcPr>
          <w:p w:rsidRPr="00A61D09" w:rsidR="00861168" w:rsidP="00861168" w:rsidRDefault="00861168" w14:paraId="069F3DCB" w14:textId="77777777">
            <w:pPr>
              <w:jc w:val="center"/>
              <w:rPr>
                <w:rFonts w:cs="Arial"/>
                <w:color w:val="000000"/>
              </w:rPr>
            </w:pPr>
            <w:r w:rsidRPr="00A61D09">
              <w:rPr>
                <w:rFonts w:cs="Arial"/>
                <w:color w:val="000000"/>
              </w:rPr>
              <w:t>Absolute Value of the Dispatch Notice for the Facility Output (MW)</w:t>
            </w:r>
          </w:p>
        </w:tc>
        <w:tc>
          <w:tcPr>
            <w:tcW w:w="365" w:type="dxa"/>
            <w:tcBorders>
              <w:top w:val="single" w:color="auto" w:sz="4" w:space="0"/>
              <w:left w:val="nil"/>
              <w:bottom w:val="single" w:color="auto" w:sz="4" w:space="0"/>
              <w:right w:val="single" w:color="auto" w:sz="4" w:space="0"/>
            </w:tcBorders>
            <w:shd w:val="clear" w:color="000000" w:fill="D0CECE"/>
          </w:tcPr>
          <w:p w:rsidRPr="00A61D09" w:rsidR="00861168" w:rsidP="00861168" w:rsidRDefault="00861168" w14:paraId="26123A36" w14:textId="77777777">
            <w:pPr>
              <w:jc w:val="center"/>
              <w:rPr>
                <w:rFonts w:cs="Arial"/>
                <w:color w:val="000000"/>
              </w:rPr>
            </w:pPr>
          </w:p>
        </w:tc>
      </w:tr>
      <w:tr w:rsidRPr="00A61D09" w:rsidR="00861168" w:rsidTr="00A61D09" w14:paraId="6492139B"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2B98FD13"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73196CC" w14:textId="77777777">
            <w:pPr>
              <w:jc w:val="center"/>
              <w:rPr>
                <w:rFonts w:cs="Arial"/>
                <w:color w:val="000000"/>
              </w:rPr>
            </w:pPr>
            <w:r w:rsidRPr="00A61D09">
              <w:rPr>
                <w:rFonts w:cs="Arial"/>
                <w:color w:val="000000"/>
              </w:rPr>
              <w:t>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472E23B"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65DCE45"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47BF08EE"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861168" w:rsidP="00861168" w:rsidRDefault="00861168" w14:paraId="06C66077"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036F6C15" w14:textId="77777777">
            <w:pPr>
              <w:jc w:val="right"/>
              <w:rPr>
                <w:rFonts w:cs="Arial"/>
                <w:color w:val="000000"/>
              </w:rPr>
            </w:pPr>
          </w:p>
        </w:tc>
      </w:tr>
      <w:tr w:rsidRPr="00A61D09" w:rsidR="00861168" w:rsidTr="00A61D09" w14:paraId="23D9DE73"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53070111"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4EC0C842" w14:textId="77777777">
            <w:pPr>
              <w:jc w:val="center"/>
              <w:rPr>
                <w:rFonts w:cs="Arial"/>
                <w:color w:val="000000"/>
              </w:rPr>
            </w:pPr>
            <w:r w:rsidRPr="00A61D09">
              <w:rPr>
                <w:rFonts w:cs="Arial"/>
                <w:color w:val="000000"/>
              </w:rPr>
              <w:t>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54CF7912"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664935D"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4B7618DF"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861168" w:rsidP="00861168" w:rsidRDefault="00861168" w14:paraId="0CA504CC"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31B5BB29" w14:textId="77777777">
            <w:pPr>
              <w:jc w:val="right"/>
              <w:rPr>
                <w:rFonts w:cs="Arial"/>
                <w:color w:val="000000"/>
              </w:rPr>
            </w:pPr>
          </w:p>
        </w:tc>
      </w:tr>
      <w:tr w:rsidRPr="00A61D09" w:rsidR="00861168" w:rsidTr="00A61D09" w14:paraId="25244812"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7837B159"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0B9B9FCB" w14:textId="77777777">
            <w:pPr>
              <w:jc w:val="center"/>
              <w:rPr>
                <w:rFonts w:cs="Arial"/>
                <w:color w:val="000000"/>
              </w:rPr>
            </w:pPr>
            <w:r w:rsidRPr="00A61D09">
              <w:rPr>
                <w:rFonts w:cs="Arial"/>
                <w:color w:val="000000"/>
              </w:rPr>
              <w:t>3</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6C4DD6FB"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013D49C8" w14:textId="77777777">
            <w:pPr>
              <w:jc w:val="right"/>
              <w:rPr>
                <w:rFonts w:cs="Arial"/>
                <w:color w:val="000000"/>
              </w:rPr>
            </w:pPr>
            <w:r w:rsidRPr="00A61D09">
              <w:rPr>
                <w:rFonts w:cs="Arial"/>
                <w:color w:val="000000"/>
              </w:rPr>
              <w:t>-75</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7443508" w14:textId="77777777">
            <w:pPr>
              <w:jc w:val="right"/>
              <w:rPr>
                <w:rFonts w:cs="Arial"/>
                <w:color w:val="000000"/>
              </w:rPr>
            </w:pPr>
            <w:r w:rsidRPr="00A61D09">
              <w:rPr>
                <w:rFonts w:cs="Arial"/>
                <w:color w:val="000000"/>
              </w:rPr>
              <w:t>15</w:t>
            </w:r>
          </w:p>
        </w:tc>
        <w:tc>
          <w:tcPr>
            <w:tcW w:w="1140" w:type="dxa"/>
            <w:tcBorders>
              <w:top w:val="nil"/>
              <w:left w:val="nil"/>
              <w:bottom w:val="single" w:color="auto" w:sz="4" w:space="0"/>
              <w:right w:val="nil"/>
            </w:tcBorders>
            <w:vAlign w:val="bottom"/>
          </w:tcPr>
          <w:p w:rsidRPr="00A61D09" w:rsidR="00861168" w:rsidP="00861168" w:rsidRDefault="00861168" w14:paraId="7EB3304C"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3B50C863" w14:textId="77777777">
            <w:pPr>
              <w:jc w:val="right"/>
              <w:rPr>
                <w:rFonts w:cs="Arial"/>
                <w:color w:val="000000"/>
              </w:rPr>
            </w:pPr>
          </w:p>
        </w:tc>
      </w:tr>
      <w:tr w:rsidRPr="00A61D09" w:rsidR="00861168" w:rsidTr="00A61D09" w14:paraId="38CB8E58"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7BEDA6AA"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671FB693" w14:textId="77777777">
            <w:pPr>
              <w:jc w:val="center"/>
              <w:rPr>
                <w:rFonts w:cs="Arial"/>
                <w:color w:val="000000"/>
              </w:rPr>
            </w:pPr>
            <w:r w:rsidRPr="00A61D09">
              <w:rPr>
                <w:rFonts w:cs="Arial"/>
                <w:color w:val="000000"/>
              </w:rPr>
              <w:t>4</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46AC181E"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53261442" w14:textId="77777777">
            <w:pPr>
              <w:jc w:val="right"/>
              <w:rPr>
                <w:rFonts w:cs="Arial"/>
                <w:color w:val="000000"/>
              </w:rPr>
            </w:pPr>
            <w:r w:rsidRPr="00A61D09">
              <w:rPr>
                <w:rFonts w:cs="Arial"/>
                <w:color w:val="000000"/>
              </w:rPr>
              <w:t>-75</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76E40E40" w14:textId="77777777">
            <w:pPr>
              <w:jc w:val="right"/>
              <w:rPr>
                <w:rFonts w:cs="Arial"/>
                <w:color w:val="000000"/>
              </w:rPr>
            </w:pPr>
            <w:r w:rsidRPr="00A61D09">
              <w:rPr>
                <w:rFonts w:cs="Arial"/>
                <w:color w:val="000000"/>
              </w:rPr>
              <w:t>15</w:t>
            </w:r>
          </w:p>
        </w:tc>
        <w:tc>
          <w:tcPr>
            <w:tcW w:w="1140" w:type="dxa"/>
            <w:tcBorders>
              <w:top w:val="nil"/>
              <w:left w:val="nil"/>
              <w:bottom w:val="single" w:color="auto" w:sz="4" w:space="0"/>
              <w:right w:val="nil"/>
            </w:tcBorders>
            <w:vAlign w:val="bottom"/>
          </w:tcPr>
          <w:p w:rsidRPr="00A61D09" w:rsidR="00861168" w:rsidP="00861168" w:rsidRDefault="00861168" w14:paraId="2603AB22"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75C8F0D2" w14:textId="77777777">
            <w:pPr>
              <w:jc w:val="right"/>
              <w:rPr>
                <w:rFonts w:cs="Arial"/>
                <w:color w:val="000000"/>
              </w:rPr>
            </w:pPr>
          </w:p>
        </w:tc>
      </w:tr>
      <w:tr w:rsidRPr="00A61D09" w:rsidR="00861168" w:rsidTr="00A61D09" w14:paraId="425EA3F5"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742088BA"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1F2A41B5" w14:textId="77777777">
            <w:pPr>
              <w:jc w:val="center"/>
              <w:rPr>
                <w:rFonts w:cs="Arial"/>
                <w:color w:val="000000"/>
              </w:rPr>
            </w:pPr>
            <w:r w:rsidRPr="00A61D09">
              <w:rPr>
                <w:rFonts w:cs="Arial"/>
                <w:color w:val="000000"/>
              </w:rPr>
              <w:t>5</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327733A"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0B7C53F0"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BACC5D3"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861168" w:rsidP="00861168" w:rsidRDefault="00861168" w14:paraId="6E2E0CDC"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861168" w:rsidP="00861168" w:rsidRDefault="00861168" w14:paraId="77B0529F" w14:textId="77777777">
            <w:pPr>
              <w:jc w:val="right"/>
              <w:rPr>
                <w:rFonts w:cs="Arial"/>
                <w:color w:val="000000"/>
              </w:rPr>
            </w:pPr>
          </w:p>
        </w:tc>
      </w:tr>
      <w:tr w:rsidRPr="00A61D09" w:rsidR="00861168" w:rsidTr="00A61D09" w14:paraId="436BD8E2"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43C4D422"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710AE5EE" w14:textId="77777777">
            <w:pPr>
              <w:jc w:val="center"/>
              <w:rPr>
                <w:rFonts w:cs="Arial"/>
                <w:color w:val="000000"/>
              </w:rPr>
            </w:pPr>
            <w:r w:rsidRPr="00A61D09">
              <w:rPr>
                <w:rFonts w:cs="Arial"/>
                <w:color w:val="000000"/>
              </w:rPr>
              <w:t>6</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4A23C389"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59114425"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0670366E"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861168" w:rsidP="00861168" w:rsidRDefault="00861168" w14:paraId="19E4DE86"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861168" w:rsidP="00861168" w:rsidRDefault="00861168" w14:paraId="7C3975DF" w14:textId="77777777">
            <w:pPr>
              <w:jc w:val="right"/>
              <w:rPr>
                <w:rFonts w:cs="Arial"/>
                <w:color w:val="000000"/>
              </w:rPr>
            </w:pPr>
          </w:p>
        </w:tc>
      </w:tr>
      <w:tr w:rsidRPr="00A61D09" w:rsidR="00861168" w:rsidTr="00A61D09" w14:paraId="69C7D018"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1B6C2D19"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00AC724" w14:textId="77777777">
            <w:pPr>
              <w:jc w:val="center"/>
              <w:rPr>
                <w:rFonts w:cs="Arial"/>
                <w:color w:val="000000"/>
              </w:rPr>
            </w:pPr>
            <w:r w:rsidRPr="00A61D09">
              <w:rPr>
                <w:rFonts w:cs="Arial"/>
                <w:color w:val="000000"/>
              </w:rPr>
              <w:t>7</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58866640"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70D8B9A"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1DB1716F"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861168" w:rsidP="00861168" w:rsidRDefault="00861168" w14:paraId="3B5964AC"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861168" w:rsidP="00861168" w:rsidRDefault="00861168" w14:paraId="6F7800E9" w14:textId="77777777">
            <w:pPr>
              <w:jc w:val="right"/>
              <w:rPr>
                <w:rFonts w:cs="Arial"/>
                <w:color w:val="000000"/>
              </w:rPr>
            </w:pPr>
          </w:p>
        </w:tc>
      </w:tr>
      <w:tr w:rsidRPr="00A61D09" w:rsidR="00861168" w:rsidTr="00A61D09" w14:paraId="2BF632A9"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318726D3"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8E93B07" w14:textId="77777777">
            <w:pPr>
              <w:jc w:val="center"/>
              <w:rPr>
                <w:rFonts w:cs="Arial"/>
                <w:color w:val="000000"/>
              </w:rPr>
            </w:pPr>
            <w:r w:rsidRPr="00A61D09">
              <w:rPr>
                <w:rFonts w:cs="Arial"/>
                <w:color w:val="000000"/>
              </w:rPr>
              <w:t>8</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168A553C" w14:textId="77777777">
            <w:pPr>
              <w:jc w:val="right"/>
              <w:rPr>
                <w:rFonts w:cs="Arial"/>
                <w:color w:val="000000"/>
              </w:rPr>
            </w:pPr>
            <w:r w:rsidRPr="00A61D09">
              <w:rPr>
                <w:rFonts w:cs="Arial"/>
                <w:color w:val="000000"/>
              </w:rPr>
              <w:t>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53F4A288"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6B0C1D09"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861168" w:rsidP="00861168" w:rsidRDefault="00861168" w14:paraId="4AC2D61C" w14:textId="77777777">
            <w:pPr>
              <w:jc w:val="right"/>
              <w:rPr>
                <w:rFonts w:cs="Arial"/>
                <w:color w:val="000000"/>
              </w:rPr>
            </w:pPr>
            <w:r w:rsidRPr="00A61D09">
              <w:rPr>
                <w:rFonts w:cs="Arial"/>
                <w:color w:val="000000"/>
              </w:rPr>
              <w:t>0</w:t>
            </w:r>
          </w:p>
        </w:tc>
        <w:tc>
          <w:tcPr>
            <w:tcW w:w="365" w:type="dxa"/>
            <w:tcBorders>
              <w:top w:val="nil"/>
              <w:left w:val="nil"/>
              <w:bottom w:val="single" w:color="auto" w:sz="4" w:space="0"/>
              <w:right w:val="single" w:color="auto" w:sz="4" w:space="0"/>
            </w:tcBorders>
          </w:tcPr>
          <w:p w:rsidRPr="00A61D09" w:rsidR="00861168" w:rsidP="00861168" w:rsidRDefault="00861168" w14:paraId="2F9CC31E" w14:textId="77777777">
            <w:pPr>
              <w:jc w:val="right"/>
              <w:rPr>
                <w:rFonts w:cs="Arial"/>
                <w:color w:val="000000"/>
              </w:rPr>
            </w:pPr>
          </w:p>
        </w:tc>
      </w:tr>
      <w:tr w:rsidRPr="00A61D09" w:rsidR="00861168" w:rsidTr="00A61D09" w14:paraId="7E024466"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1F02524A"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71BB301" w14:textId="77777777">
            <w:pPr>
              <w:jc w:val="center"/>
              <w:rPr>
                <w:rFonts w:cs="Arial"/>
                <w:color w:val="000000"/>
              </w:rPr>
            </w:pPr>
            <w:r w:rsidRPr="00A61D09">
              <w:rPr>
                <w:rFonts w:cs="Arial"/>
                <w:color w:val="000000"/>
              </w:rPr>
              <w:t>9</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CAF0A33"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2272264" w14:textId="77777777">
            <w:pPr>
              <w:jc w:val="right"/>
              <w:rPr>
                <w:rFonts w:cs="Arial"/>
                <w:color w:val="000000"/>
              </w:rPr>
            </w:pPr>
            <w:r w:rsidRPr="00A61D09">
              <w:rPr>
                <w:rFonts w:cs="Arial"/>
                <w:color w:val="000000"/>
              </w:rPr>
              <w:t>88</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525F2454" w14:textId="77777777">
            <w:pPr>
              <w:jc w:val="right"/>
              <w:rPr>
                <w:rFonts w:cs="Arial"/>
                <w:color w:val="000000"/>
              </w:rPr>
            </w:pPr>
            <w:r w:rsidRPr="00A61D09">
              <w:rPr>
                <w:rFonts w:cs="Arial"/>
                <w:color w:val="000000"/>
              </w:rPr>
              <w:t>2</w:t>
            </w:r>
          </w:p>
        </w:tc>
        <w:tc>
          <w:tcPr>
            <w:tcW w:w="1140" w:type="dxa"/>
            <w:tcBorders>
              <w:top w:val="nil"/>
              <w:left w:val="nil"/>
              <w:bottom w:val="single" w:color="auto" w:sz="4" w:space="0"/>
              <w:right w:val="nil"/>
            </w:tcBorders>
            <w:vAlign w:val="bottom"/>
          </w:tcPr>
          <w:p w:rsidRPr="00A61D09" w:rsidR="00861168" w:rsidP="00861168" w:rsidRDefault="00861168" w14:paraId="270187BA"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00C0C2EA" w14:textId="77777777">
            <w:pPr>
              <w:jc w:val="right"/>
              <w:rPr>
                <w:rFonts w:cs="Arial"/>
                <w:color w:val="000000"/>
              </w:rPr>
            </w:pPr>
          </w:p>
        </w:tc>
      </w:tr>
      <w:tr w:rsidRPr="00A61D09" w:rsidR="00861168" w:rsidTr="00A61D09" w14:paraId="66C8810F"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38070281"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7FF7E135" w14:textId="77777777">
            <w:pPr>
              <w:jc w:val="center"/>
              <w:rPr>
                <w:rFonts w:cs="Arial"/>
                <w:color w:val="000000"/>
              </w:rPr>
            </w:pPr>
            <w:r w:rsidRPr="00A61D09">
              <w:rPr>
                <w:rFonts w:cs="Arial"/>
                <w:color w:val="000000"/>
              </w:rPr>
              <w:t>10</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63879FFE"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6511C949" w14:textId="77777777">
            <w:pPr>
              <w:jc w:val="right"/>
              <w:rPr>
                <w:rFonts w:cs="Arial"/>
                <w:color w:val="000000"/>
              </w:rPr>
            </w:pPr>
            <w:r w:rsidRPr="00A61D09">
              <w:rPr>
                <w:rFonts w:cs="Arial"/>
                <w:color w:val="000000"/>
              </w:rPr>
              <w:t>75</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7663D294" w14:textId="77777777">
            <w:pPr>
              <w:jc w:val="right"/>
              <w:rPr>
                <w:rFonts w:cs="Arial"/>
                <w:color w:val="000000"/>
              </w:rPr>
            </w:pPr>
            <w:r w:rsidRPr="00A61D09">
              <w:rPr>
                <w:rFonts w:cs="Arial"/>
                <w:color w:val="000000"/>
              </w:rPr>
              <w:t>15</w:t>
            </w:r>
          </w:p>
        </w:tc>
        <w:tc>
          <w:tcPr>
            <w:tcW w:w="1140" w:type="dxa"/>
            <w:tcBorders>
              <w:top w:val="nil"/>
              <w:left w:val="nil"/>
              <w:bottom w:val="single" w:color="auto" w:sz="4" w:space="0"/>
              <w:right w:val="nil"/>
            </w:tcBorders>
            <w:vAlign w:val="bottom"/>
          </w:tcPr>
          <w:p w:rsidRPr="00A61D09" w:rsidR="00861168" w:rsidP="00861168" w:rsidRDefault="00861168" w14:paraId="6E926888"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01C1117C" w14:textId="77777777">
            <w:pPr>
              <w:jc w:val="right"/>
              <w:rPr>
                <w:rFonts w:cs="Arial"/>
                <w:color w:val="000000"/>
              </w:rPr>
            </w:pPr>
          </w:p>
        </w:tc>
      </w:tr>
      <w:tr w:rsidRPr="00A61D09" w:rsidR="00861168" w:rsidTr="00A61D09" w14:paraId="7AE6D3DE"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350C1370"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B528B40" w14:textId="77777777">
            <w:pPr>
              <w:jc w:val="center"/>
              <w:rPr>
                <w:rFonts w:cs="Arial"/>
                <w:color w:val="000000"/>
              </w:rPr>
            </w:pPr>
            <w:r w:rsidRPr="00A61D09">
              <w:rPr>
                <w:rFonts w:cs="Arial"/>
                <w:color w:val="000000"/>
              </w:rPr>
              <w:t>11</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18B4EEBE"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7037B65A" w14:textId="77777777">
            <w:pPr>
              <w:jc w:val="right"/>
              <w:rPr>
                <w:rFonts w:cs="Arial"/>
                <w:color w:val="000000"/>
              </w:rPr>
            </w:pPr>
            <w:r w:rsidRPr="00A61D09">
              <w:rPr>
                <w:rFonts w:cs="Arial"/>
                <w:color w:val="000000"/>
              </w:rPr>
              <w:t>90</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45B97E7" w14:textId="77777777">
            <w:pPr>
              <w:jc w:val="right"/>
              <w:rPr>
                <w:rFonts w:cs="Arial"/>
                <w:color w:val="000000"/>
              </w:rPr>
            </w:pPr>
            <w:r w:rsidRPr="00A61D09">
              <w:rPr>
                <w:rFonts w:cs="Arial"/>
                <w:color w:val="000000"/>
              </w:rPr>
              <w:t>0</w:t>
            </w:r>
          </w:p>
        </w:tc>
        <w:tc>
          <w:tcPr>
            <w:tcW w:w="1140" w:type="dxa"/>
            <w:tcBorders>
              <w:top w:val="nil"/>
              <w:left w:val="nil"/>
              <w:bottom w:val="single" w:color="auto" w:sz="4" w:space="0"/>
              <w:right w:val="nil"/>
            </w:tcBorders>
            <w:vAlign w:val="bottom"/>
          </w:tcPr>
          <w:p w:rsidRPr="00A61D09" w:rsidR="00861168" w:rsidP="00861168" w:rsidRDefault="00861168" w14:paraId="68DF4079"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57B94DB4" w14:textId="77777777">
            <w:pPr>
              <w:jc w:val="right"/>
              <w:rPr>
                <w:rFonts w:cs="Arial"/>
                <w:color w:val="000000"/>
              </w:rPr>
            </w:pPr>
          </w:p>
        </w:tc>
      </w:tr>
      <w:tr w:rsidRPr="00A61D09" w:rsidR="00861168" w:rsidTr="00A61D09" w14:paraId="5355DD1C" w14:textId="77777777">
        <w:trPr>
          <w:trHeight w:val="300"/>
        </w:trPr>
        <w:tc>
          <w:tcPr>
            <w:tcW w:w="960" w:type="dxa"/>
            <w:tcBorders>
              <w:top w:val="nil"/>
              <w:left w:val="single" w:color="auto" w:sz="4" w:space="0"/>
              <w:bottom w:val="single" w:color="auto" w:sz="4" w:space="0"/>
              <w:right w:val="single" w:color="auto" w:sz="4" w:space="0"/>
            </w:tcBorders>
            <w:shd w:val="clear" w:color="auto" w:fill="auto"/>
            <w:noWrap/>
            <w:vAlign w:val="bottom"/>
            <w:hideMark/>
          </w:tcPr>
          <w:p w:rsidRPr="00A61D09" w:rsidR="00861168" w:rsidP="00861168" w:rsidRDefault="00861168" w14:paraId="045AF7EB" w14:textId="77777777">
            <w:pPr>
              <w:jc w:val="center"/>
              <w:rPr>
                <w:rFonts w:cs="Arial"/>
                <w:color w:val="000000"/>
              </w:rPr>
            </w:pPr>
            <w:r w:rsidRPr="00A61D09">
              <w:rPr>
                <w:rFonts w:cs="Arial"/>
                <w:color w:val="000000"/>
              </w:rPr>
              <w:t>i</w:t>
            </w:r>
          </w:p>
        </w:tc>
        <w:tc>
          <w:tcPr>
            <w:tcW w:w="12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30E5A70C" w14:textId="77777777">
            <w:pPr>
              <w:jc w:val="center"/>
              <w:rPr>
                <w:rFonts w:cs="Arial"/>
                <w:color w:val="000000"/>
              </w:rPr>
            </w:pPr>
            <w:r w:rsidRPr="00A61D09">
              <w:rPr>
                <w:rFonts w:cs="Arial"/>
                <w:color w:val="000000"/>
              </w:rPr>
              <w:t>12</w:t>
            </w:r>
          </w:p>
        </w:tc>
        <w:tc>
          <w:tcPr>
            <w:tcW w:w="110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7546456F" w14:textId="77777777">
            <w:pPr>
              <w:jc w:val="right"/>
              <w:rPr>
                <w:rFonts w:cs="Arial"/>
                <w:color w:val="000000"/>
              </w:rPr>
            </w:pPr>
            <w:r w:rsidRPr="00A61D09">
              <w:rPr>
                <w:rFonts w:cs="Arial"/>
                <w:color w:val="000000"/>
              </w:rPr>
              <w:t>90</w:t>
            </w:r>
          </w:p>
        </w:tc>
        <w:tc>
          <w:tcPr>
            <w:tcW w:w="156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23E29781" w14:textId="77777777">
            <w:pPr>
              <w:jc w:val="right"/>
              <w:rPr>
                <w:rFonts w:cs="Arial"/>
                <w:color w:val="000000"/>
              </w:rPr>
            </w:pPr>
            <w:r w:rsidRPr="00A61D09">
              <w:rPr>
                <w:rFonts w:cs="Arial"/>
                <w:color w:val="000000"/>
              </w:rPr>
              <w:t>89</w:t>
            </w:r>
          </w:p>
        </w:tc>
        <w:tc>
          <w:tcPr>
            <w:tcW w:w="1140" w:type="dxa"/>
            <w:tcBorders>
              <w:top w:val="nil"/>
              <w:left w:val="nil"/>
              <w:bottom w:val="single" w:color="auto" w:sz="4" w:space="0"/>
              <w:right w:val="single" w:color="auto" w:sz="4" w:space="0"/>
            </w:tcBorders>
            <w:shd w:val="clear" w:color="auto" w:fill="auto"/>
            <w:noWrap/>
            <w:vAlign w:val="bottom"/>
            <w:hideMark/>
          </w:tcPr>
          <w:p w:rsidRPr="00A61D09" w:rsidR="00861168" w:rsidP="00861168" w:rsidRDefault="00861168" w14:paraId="46DB0428" w14:textId="77777777">
            <w:pPr>
              <w:jc w:val="right"/>
              <w:rPr>
                <w:rFonts w:cs="Arial"/>
                <w:color w:val="000000"/>
              </w:rPr>
            </w:pPr>
            <w:r w:rsidRPr="00A61D09">
              <w:rPr>
                <w:rFonts w:cs="Arial"/>
                <w:color w:val="000000"/>
              </w:rPr>
              <w:t>1</w:t>
            </w:r>
          </w:p>
        </w:tc>
        <w:tc>
          <w:tcPr>
            <w:tcW w:w="1140" w:type="dxa"/>
            <w:tcBorders>
              <w:top w:val="nil"/>
              <w:left w:val="nil"/>
              <w:bottom w:val="single" w:color="auto" w:sz="4" w:space="0"/>
              <w:right w:val="nil"/>
            </w:tcBorders>
            <w:vAlign w:val="bottom"/>
          </w:tcPr>
          <w:p w:rsidRPr="00A61D09" w:rsidR="00861168" w:rsidP="00861168" w:rsidRDefault="00861168" w14:paraId="5B3B59A2" w14:textId="77777777">
            <w:pPr>
              <w:jc w:val="right"/>
              <w:rPr>
                <w:rFonts w:cs="Arial"/>
                <w:color w:val="000000"/>
              </w:rPr>
            </w:pPr>
            <w:r w:rsidRPr="00A61D09">
              <w:rPr>
                <w:rFonts w:cs="Arial"/>
                <w:color w:val="000000"/>
              </w:rPr>
              <w:t>90</w:t>
            </w:r>
          </w:p>
        </w:tc>
        <w:tc>
          <w:tcPr>
            <w:tcW w:w="365" w:type="dxa"/>
            <w:tcBorders>
              <w:top w:val="nil"/>
              <w:left w:val="nil"/>
              <w:bottom w:val="single" w:color="auto" w:sz="4" w:space="0"/>
              <w:right w:val="single" w:color="auto" w:sz="4" w:space="0"/>
            </w:tcBorders>
          </w:tcPr>
          <w:p w:rsidRPr="00A61D09" w:rsidR="00861168" w:rsidP="00861168" w:rsidRDefault="00861168" w14:paraId="0EEA734C" w14:textId="77777777">
            <w:pPr>
              <w:jc w:val="right"/>
              <w:rPr>
                <w:rFonts w:cs="Arial"/>
                <w:color w:val="000000"/>
              </w:rPr>
            </w:pPr>
          </w:p>
        </w:tc>
      </w:tr>
    </w:tbl>
    <w:p w:rsidRPr="00A61D09" w:rsidR="009D4AA3" w:rsidRDefault="009D4AA3" w14:paraId="20106559" w14:textId="77777777">
      <w:pPr>
        <w:spacing w:after="240"/>
        <w:jc w:val="both"/>
        <w:textAlignment w:val="baseline"/>
        <w:rPr>
          <w:rFonts w:cs="Arial"/>
          <w:lang w:bidi="he-IL"/>
        </w:rPr>
      </w:pPr>
    </w:p>
    <w:p w:rsidRPr="00A61D09" w:rsidR="00861168" w:rsidP="00861168" w:rsidRDefault="00861168" w14:paraId="300CC992" w14:textId="77777777">
      <w:pPr>
        <w:spacing w:after="240"/>
        <w:jc w:val="both"/>
        <w:textAlignment w:val="baseline"/>
        <w:rPr>
          <w:rFonts w:cs="Arial"/>
          <w:lang w:bidi="he-IL"/>
        </w:rPr>
      </w:pPr>
      <w:r w:rsidRPr="00A61D09">
        <w:rPr>
          <w:rFonts w:cs="Arial"/>
        </w:rPr>
        <w:t>The Shortfall Calculation is: The sum of the absolute value of the 5- minute deviations in the Facility Output/The sum of the absolute value of the 5- minute Dispatch Notices for the Facility Output =</w:t>
      </w:r>
      <w:r w:rsidRPr="00A61D09">
        <w:rPr>
          <w:rFonts w:cs="Arial"/>
          <w:lang w:bidi="he-IL"/>
        </w:rPr>
        <w:t>Sum of column 5 in the table above/Sum of column 6 in the table above=49/720=0.068</w:t>
      </w:r>
    </w:p>
    <w:p w:rsidRPr="00A61D09" w:rsidR="00861168" w:rsidRDefault="00861168" w14:paraId="759DAF64" w14:textId="77777777">
      <w:pPr>
        <w:spacing w:after="240"/>
        <w:jc w:val="both"/>
        <w:textAlignment w:val="baseline"/>
        <w:rPr>
          <w:rFonts w:cs="Arial"/>
          <w:lang w:bidi="he-IL"/>
        </w:rPr>
      </w:pPr>
    </w:p>
    <w:p w:rsidRPr="00A61D09" w:rsidR="00072C59" w:rsidP="00A61D09" w:rsidRDefault="000E594C" w14:paraId="3D5E88DD" w14:textId="77777777">
      <w:pPr>
        <w:jc w:val="both"/>
        <w:rPr>
          <w:rFonts w:cs="Arial"/>
        </w:rPr>
      </w:pPr>
      <w:r w:rsidRPr="00A61D09">
        <w:rPr>
          <w:rFonts w:cs="Arial"/>
        </w:rPr>
        <w:t xml:space="preserve"> Since </w:t>
      </w:r>
      <w:r w:rsidRPr="00A61D09" w:rsidR="00072C59">
        <w:rPr>
          <w:rFonts w:cs="Arial"/>
        </w:rPr>
        <w:t xml:space="preserve">the Shortfall Calculation is more than 0.02 </w:t>
      </w:r>
      <w:r w:rsidRPr="00A61D09">
        <w:rPr>
          <w:rFonts w:cs="Arial"/>
        </w:rPr>
        <w:t xml:space="preserve">the hour </w:t>
      </w:r>
      <w:r w:rsidRPr="00A61D09" w:rsidR="00072C59">
        <w:rPr>
          <w:rFonts w:cs="Arial"/>
        </w:rPr>
        <w:t>is counted as a Shortfall Hour.</w:t>
      </w:r>
    </w:p>
    <w:p w:rsidRPr="00A61D09" w:rsidR="0079779A" w:rsidRDefault="0079779A" w14:paraId="6EB551BC" w14:textId="77777777">
      <w:pPr>
        <w:spacing w:after="240"/>
        <w:jc w:val="both"/>
        <w:textAlignment w:val="baseline"/>
        <w:rPr>
          <w:rFonts w:eastAsia="Arial" w:cs="Arial"/>
          <w:color w:val="000000"/>
        </w:rPr>
      </w:pPr>
    </w:p>
    <w:sectPr w:rsidRPr="00A61D09" w:rsidR="0079779A">
      <w:footerReference w:type="default" r:id="rId53"/>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A3F6D" w:rsidRDefault="007A3F6D" w14:paraId="1B17B714" w14:textId="77777777">
      <w:r>
        <w:separator/>
      </w:r>
    </w:p>
    <w:p w:rsidR="007A3F6D" w:rsidRDefault="007A3F6D" w14:paraId="77D72DBD" w14:textId="77777777"/>
  </w:endnote>
  <w:endnote w:type="continuationSeparator" w:id="0">
    <w:p w:rsidR="007A3F6D" w:rsidRDefault="007A3F6D" w14:paraId="214EBD35" w14:textId="77777777">
      <w:r>
        <w:continuationSeparator/>
      </w:r>
    </w:p>
    <w:p w:rsidR="007A3F6D" w:rsidRDefault="007A3F6D" w14:paraId="64BD500D" w14:textId="77777777"/>
  </w:endnote>
  <w:endnote w:type="continuationNotice" w:id="1">
    <w:p w:rsidR="007A3F6D" w:rsidRDefault="007A3F6D" w14:paraId="30E5764F"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w:panose1 w:val="02070409020205020404"/>
    <w:charset w:val="00"/>
    <w:family w:val="modern"/>
    <w:pitch w:val="fixed"/>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5D04D10" w14:textId="77777777">
    <w:pPr>
      <w:framePr w:wrap="around" w:hAnchor="margin" w:vAnchor="text" w:xAlign="right" w:y="1"/>
      <w:tabs>
        <w:tab w:val="center" w:pos="4680"/>
        <w:tab w:val="right" w:pos="9360"/>
      </w:tabs>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Pr>
        <w:rStyle w:val="PageNumber"/>
        <w:rFonts w:ascii="Arial" w:hAnsi="Arial"/>
        <w:noProof/>
      </w:rPr>
      <w:t>iii</w:t>
    </w:r>
    <w:r>
      <w:rPr>
        <w:rStyle w:val="PageNumber"/>
        <w:rFonts w:ascii="Arial" w:hAnsi="Arial"/>
      </w:rPr>
      <w:fldChar w:fldCharType="end"/>
    </w:r>
  </w:p>
  <w:p w:rsidR="007A3F6D" w:rsidRDefault="007A3F6D" w14:paraId="732912A9" w14:textId="77777777">
    <w:pPr>
      <w:tabs>
        <w:tab w:val="center" w:pos="4680"/>
        <w:tab w:val="right" w:pos="9360"/>
      </w:tabs>
      <w:ind w:right="360"/>
    </w:pPr>
  </w:p>
</w:ftr>
</file>

<file path=word/footer2.xml><?xml version="1.0" encoding="utf-8"?>
<w:ftr xmlns:a="http://schemas.openxmlformats.org/drawingml/2006/main"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522A9C81" w14:textId="77777777">
    <w:pPr>
      <w:tabs>
        <w:tab w:val="center" w:pos="4680"/>
        <w:tab w:val="right" w:pos="9360"/>
      </w:tabs>
      <w:spacing w:line="200" w:lineRule="exact"/>
    </w:pPr>
    <w:r>
      <w:tab/>
    </w:r>
  </w:p>
  <w:p w:rsidR="007A3F6D" w:rsidRDefault="00B30290" w14:paraId="47C2D7EE" w14:textId="77777777">
    <w:pPr>
      <w:pStyle w:val="Footer"/>
    </w:pPr>
    <w:r>
      <w:rPr>
        <w:noProof/>
        <w:lang w:val="en-GB" w:eastAsia="zh-CN"/>
      </w:rPr>
      <mc:AlternateContent>
        <mc:Choice Requires="wps">
          <w:drawing>
            <wp:anchor distT="0" distB="0" distL="114300" distR="114300" simplePos="0" relativeHeight="251659264" behindDoc="1" locked="0" layoutInCell="1" allowOverlap="1" wp14:editId="21B3B740" wp14:anchorId="028E21CF">
              <wp:simplePos x="0" y="0"/>
              <wp:positionH relativeFrom="margin">
                <wp:posOffset>-67945</wp:posOffset>
              </wp:positionH>
              <wp:positionV relativeFrom="paragraph">
                <wp:posOffset>-111125</wp:posOffset>
              </wp:positionV>
              <wp:extent cx="2560320" cy="255905"/>
              <wp:effectExtent l="0" t="0" r="11430" b="10795"/>
              <wp:wrapNone/>
              <wp:docPr id="30"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3F6D" w:rsidRDefault="007A3F6D" w14:paraId="6A4D78BC" w14:textId="77777777">
                          <w:pPr>
                            <w:pStyle w:val="MacPacTrailer"/>
                          </w:pPr>
                          <w:r>
                            <w:t>DB2/ 40287883.10</w:t>
                          </w:r>
                        </w:p>
                        <w:p w:rsidR="007A3F6D" w:rsidRDefault="007A3F6D" w14:paraId="391DA45B"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28E21CF">
              <v:stroke joinstyle="miter"/>
              <v:path gradientshapeok="t" o:connecttype="rect"/>
            </v:shapetype>
            <v:shape id="Text Box 2" style="position:absolute;margin-left:-5.35pt;margin-top:-8.75pt;width:201.6pt;height:20.1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">
              <v:textbox inset="0,0,0,0">
                <w:txbxContent>
                  <w:p w:rsidR="007A3F6D" w:rsidRDefault="007A3F6D" w14:paraId="6A4D78BC" w14:textId="77777777">
                    <w:pPr>
                      <w:pStyle w:val="MacPacTrailer"/>
                    </w:pPr>
                    <w:r>
                      <w:t>DB2/ 40287883.10</w:t>
                    </w:r>
                  </w:p>
                  <w:p w:rsidR="007A3F6D" w:rsidRDefault="007A3F6D" w14:paraId="391DA45B" w14:textId="77777777">
                    <w:pPr>
                      <w:pStyle w:val="MacPacTraile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8ECF21B" w14:textId="77777777">
    <w:pPr>
      <w:pStyle w:val="Footer"/>
    </w:pPr>
    <w:r>
      <w:tab/>
    </w:r>
  </w:p>
  <w:p w:rsidR="007A3F6D" w:rsidRDefault="007A3F6D" w14:paraId="4510DE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3436CE2F" w14:textId="77777777">
    <w:pPr>
      <w:pStyle w:val="Footer"/>
    </w:pPr>
  </w:p>
</w:ftr>
</file>

<file path=word/footer5.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09F5707D" w14:textId="77777777">
    <w:pPr>
      <w:tabs>
        <w:tab w:val="center" w:pos="4680"/>
        <w:tab w:val="right" w:pos="9360"/>
      </w:tabs>
      <w:spacing w:line="200" w:lineRule="exact"/>
      <w:rPr>
        <w:rStyle w:val="PageNumber"/>
        <w:rFonts w:ascii="Arial" w:hAnsi="Arial"/>
      </w:rPr>
    </w:pPr>
    <w:r>
      <w:rPr>
        <w:rStyle w:val="PageNumber"/>
        <w:rFonts w:ascii="Arial" w:hAnsi="Arial"/>
      </w:rPr>
      <w:tab/>
    </w:r>
    <w:r>
      <w:rPr>
        <w:rStyle w:val="PageNumber"/>
        <w:rFonts w:ascii="Arial" w:hAnsi="Arial"/>
      </w:rPr>
      <w:fldChar w:fldCharType="begin"/>
    </w:r>
    <w:r>
      <w:rPr>
        <w:rStyle w:val="PageNumber"/>
        <w:rFonts w:ascii="Arial" w:hAnsi="Arial"/>
      </w:rPr>
      <w:instrText xml:space="preserve"> PAGE </w:instrText>
    </w:r>
    <w:r>
      <w:rPr>
        <w:rStyle w:val="PageNumber"/>
        <w:rFonts w:ascii="Arial" w:hAnsi="Arial"/>
      </w:rPr>
      <w:fldChar w:fldCharType="separate"/>
    </w:r>
    <w:r>
      <w:rPr>
        <w:rStyle w:val="PageNumber"/>
        <w:rFonts w:ascii="Arial" w:hAnsi="Arial"/>
        <w:noProof/>
      </w:rPr>
      <w:t>i</w:t>
    </w:r>
    <w:r>
      <w:rPr>
        <w:rStyle w:val="PageNumber"/>
        <w:rFonts w:ascii="Arial" w:hAnsi="Arial"/>
      </w:rPr>
      <w:fldChar w:fldCharType="end"/>
    </w:r>
  </w:p>
  <w:p w:rsidR="007A3F6D" w:rsidP="009B58B4" w:rsidRDefault="00B30290" w14:paraId="27E9221C" w14:textId="77777777">
    <w:pPr>
      <w:pStyle w:val="Footer"/>
    </w:pPr>
    <w:r>
      <w:rPr>
        <w:noProof/>
      </w:rPr>
      <mc:AlternateContent>
        <mc:Choice Requires="wps">
          <w:drawing>
            <wp:anchor distT="0" distB="0" distL="114300" distR="114300" simplePos="0" relativeHeight="251663360" behindDoc="1" locked="0" layoutInCell="1" allowOverlap="1" wp14:editId="71E8B169" wp14:anchorId="0689DCCF">
              <wp:simplePos x="0" y="0"/>
              <wp:positionH relativeFrom="margin">
                <wp:posOffset>-67945</wp:posOffset>
              </wp:positionH>
              <wp:positionV relativeFrom="paragraph">
                <wp:posOffset>-111125</wp:posOffset>
              </wp:positionV>
              <wp:extent cx="2560320" cy="255905"/>
              <wp:effectExtent l="0" t="0" r="11430" b="10795"/>
              <wp:wrapNone/>
              <wp:docPr id="28"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77C6E247" w14:textId="77777777">
                          <w:pPr>
                            <w:pStyle w:val="MacPacTrailer"/>
                          </w:pPr>
                          <w:r>
                            <w:t>DB2/ 40287883.10</w:t>
                          </w:r>
                        </w:p>
                        <w:p w:rsidR="007A3F6D" w:rsidP="009B58B4" w:rsidRDefault="007A3F6D" w14:paraId="23E3AB1E"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689DCCF">
              <v:stroke joinstyle="miter"/>
              <v:path gradientshapeok="t" o:connecttype="rect"/>
            </v:shapetype>
            <v:shape id="_x0000_s1027" style="position:absolute;margin-left:-5.35pt;margin-top:-8.75pt;width:201.6pt;height:20.1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">
              <v:textbox inset="0,0,0,0">
                <w:txbxContent>
                  <w:p w:rsidR="007A3F6D" w:rsidP="009B58B4" w:rsidRDefault="007A3F6D" w14:paraId="77C6E247" w14:textId="77777777">
                    <w:pPr>
                      <w:pStyle w:val="MacPacTrailer"/>
                    </w:pPr>
                    <w:r>
                      <w:t>DB2/ 40287883.10</w:t>
                    </w:r>
                  </w:p>
                  <w:p w:rsidR="007A3F6D" w:rsidP="009B58B4" w:rsidRDefault="007A3F6D" w14:paraId="23E3AB1E" w14:textId="77777777">
                    <w:pPr>
                      <w:pStyle w:val="MacPacTrailer"/>
                    </w:pP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33F807E4" w14:textId="77777777">
    <w:pPr>
      <w:pStyle w:val="Footer"/>
    </w:pPr>
  </w:p>
</w:ftr>
</file>

<file path=word/footer7.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24358A1C" w14:textId="77777777">
    <w:pPr>
      <w:pStyle w:val="Footer"/>
      <w:rPr>
        <w:rStyle w:val="PageNumber"/>
        <w:rFonts w:ascii="Arial" w:hAnsi="Arial" w:cs="Arial"/>
      </w:rPr>
    </w:pPr>
    <w:r>
      <w:rPr>
        <w:rStyle w:val="PageNumber"/>
        <w:rFonts w:ascii="Arial" w:hAnsi="Arial" w:cs="Arial"/>
      </w:rPr>
      <w:tab/>
    </w:r>
    <w:r>
      <w:rPr>
        <w:rStyle w:val="PageNumber"/>
        <w:rFonts w:ascii="Arial" w:hAnsi="Arial" w:cs="Arial"/>
      </w:rPr>
      <w:fldChar w:fldCharType="begin"/>
    </w:r>
    <w:r>
      <w:rPr>
        <w:rStyle w:val="PageNumber"/>
        <w:rFonts w:ascii="Arial" w:hAnsi="Arial" w:cs="Arial"/>
      </w:rPr>
      <w:instrText xml:space="preserve"> PAGE </w:instrText>
    </w:r>
    <w:r>
      <w:rPr>
        <w:rStyle w:val="PageNumber"/>
        <w:rFonts w:ascii="Arial" w:hAnsi="Arial" w:cs="Arial"/>
      </w:rPr>
      <w:fldChar w:fldCharType="separate"/>
    </w:r>
    <w:r>
      <w:rPr>
        <w:rStyle w:val="PageNumber"/>
        <w:rFonts w:ascii="Arial" w:hAnsi="Arial" w:cs="Arial"/>
        <w:noProof/>
      </w:rPr>
      <w:t>9</w:t>
    </w:r>
    <w:r>
      <w:rPr>
        <w:rStyle w:val="PageNumber"/>
        <w:rFonts w:ascii="Arial" w:hAnsi="Arial" w:cs="Arial"/>
      </w:rPr>
      <w:fldChar w:fldCharType="end"/>
    </w:r>
  </w:p>
  <w:p w:rsidR="007A3F6D" w:rsidP="009B58B4" w:rsidRDefault="00B30290" w14:paraId="350021F3" w14:textId="77777777">
    <w:pPr>
      <w:pStyle w:val="Footer"/>
    </w:pPr>
    <w:r>
      <w:rPr>
        <w:noProof/>
      </w:rPr>
      <mc:AlternateContent>
        <mc:Choice Requires="wps">
          <w:drawing>
            <wp:anchor distT="0" distB="0" distL="114300" distR="114300" simplePos="0" relativeHeight="251665408" behindDoc="1" locked="0" layoutInCell="1" allowOverlap="1" wp14:editId="7FE6E31D" wp14:anchorId="06EAFC8A">
              <wp:simplePos x="0" y="0"/>
              <wp:positionH relativeFrom="margin">
                <wp:posOffset>-67945</wp:posOffset>
              </wp:positionH>
              <wp:positionV relativeFrom="paragraph">
                <wp:posOffset>-111125</wp:posOffset>
              </wp:positionV>
              <wp:extent cx="2560320" cy="255905"/>
              <wp:effectExtent l="0" t="0" r="11430" b="10795"/>
              <wp:wrapNone/>
              <wp:docPr id="27"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55DDA083" w14:textId="77777777">
                          <w:pPr>
                            <w:pStyle w:val="MacPacTrailer"/>
                          </w:pPr>
                          <w:r>
                            <w:t>DB2/ 40287883.10</w:t>
                          </w:r>
                        </w:p>
                        <w:p w:rsidR="007A3F6D" w:rsidP="009B58B4" w:rsidRDefault="007A3F6D" w14:paraId="3263A086"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6EAFC8A">
              <v:stroke joinstyle="miter"/>
              <v:path gradientshapeok="t" o:connecttype="rect"/>
            </v:shapetype>
            <v:shape id="_x0000_s1028" style="position:absolute;margin-left:-5.35pt;margin-top:-8.75pt;width:201.6pt;height:20.1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r40XZ9oBAACYAwAADgAAAAAAAAAAAAAAAAAuAgAAZHJzL2Uyb0RvYy54bWxQSwECLQAUAAYACAAA&#10;ACEADWD7Xt8AAAAKAQAADwAAAAAAAAAAAAAAAAA0BAAAZHJzL2Rvd25yZXYueG1sUEsFBgAAAAAE&#10;AAQA8wAAAEAFAAAAAA==&#10;">
              <v:textbox inset="0,0,0,0">
                <w:txbxContent>
                  <w:p w:rsidR="007A3F6D" w:rsidP="009B58B4" w:rsidRDefault="007A3F6D" w14:paraId="55DDA083" w14:textId="77777777">
                    <w:pPr>
                      <w:pStyle w:val="MacPacTrailer"/>
                    </w:pPr>
                    <w:r>
                      <w:t>DB2/ 40287883.10</w:t>
                    </w:r>
                  </w:p>
                  <w:p w:rsidR="007A3F6D" w:rsidP="009B58B4" w:rsidRDefault="007A3F6D" w14:paraId="3263A086" w14:textId="77777777">
                    <w:pPr>
                      <w:pStyle w:val="MacPacTrailer"/>
                    </w:pP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DE54BD6" w14:textId="77777777">
    <w:pPr>
      <w:pStyle w:val="Footer"/>
      <w:framePr w:wrap="around" w:hAnchor="margin" w:v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7A3F6D" w:rsidRDefault="007A3F6D" w14:paraId="009B0904" w14:textId="77777777">
    <w:pPr>
      <w:pStyle w:val="Footer"/>
    </w:pPr>
  </w:p>
</w:ftr>
</file>

<file path=word/footer9.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10AADD9" w14:textId="77777777">
    <w:pPr>
      <w:pStyle w:val="Footer"/>
    </w:pPr>
    <w:r>
      <w:tab/>
    </w:r>
    <w:r>
      <w:rPr>
        <w:lang w:val="en-US"/>
      </w:rPr>
      <w:t>A</w:t>
    </w:r>
    <w:r>
      <w:t>-</w:t>
    </w:r>
    <w:r>
      <w:fldChar w:fldCharType="begin"/>
    </w:r>
    <w:r>
      <w:instrText xml:space="preserve"> PAGE   \* MERGEFORMAT </w:instrText>
    </w:r>
    <w:r>
      <w:fldChar w:fldCharType="separate"/>
    </w:r>
    <w:r>
      <w:rPr>
        <w:noProof/>
      </w:rPr>
      <w:t>12</w:t>
    </w:r>
    <w:r>
      <w:fldChar w:fldCharType="end"/>
    </w:r>
  </w:p>
  <w:p w:rsidR="007A3F6D" w:rsidP="009B58B4" w:rsidRDefault="00B30290" w14:paraId="61BC2922" w14:textId="77777777">
    <w:pPr>
      <w:pStyle w:val="Footer"/>
    </w:pPr>
    <w:r>
      <w:rPr>
        <w:noProof/>
      </w:rPr>
      <mc:AlternateContent>
        <mc:Choice Requires="wps">
          <w:drawing>
            <wp:anchor distT="0" distB="0" distL="114300" distR="114300" simplePos="0" relativeHeight="251667456" behindDoc="1" locked="0" layoutInCell="1" allowOverlap="1" wp14:editId="44735FD1" wp14:anchorId="57A3DD73">
              <wp:simplePos x="0" y="0"/>
              <wp:positionH relativeFrom="margin">
                <wp:posOffset>-67945</wp:posOffset>
              </wp:positionH>
              <wp:positionV relativeFrom="paragraph">
                <wp:posOffset>-111125</wp:posOffset>
              </wp:positionV>
              <wp:extent cx="2560320" cy="255905"/>
              <wp:effectExtent l="0" t="0" r="11430" b="10795"/>
              <wp:wrapNone/>
              <wp:docPr id="26"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578FECCE" w14:textId="77777777">
                          <w:pPr>
                            <w:pStyle w:val="MacPacTrailer"/>
                          </w:pPr>
                          <w:r>
                            <w:t>DB2/ 40287883.10</w:t>
                          </w:r>
                        </w:p>
                        <w:p w:rsidR="007A3F6D" w:rsidP="009B58B4" w:rsidRDefault="007A3F6D" w14:paraId="477C8289"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57A3DD73">
              <v:stroke joinstyle="miter"/>
              <v:path gradientshapeok="t" o:connecttype="rect"/>
            </v:shapetype>
            <v:shape id="_x0000_s1029" style="position:absolute;margin-left:-5.35pt;margin-top:-8.75pt;width:201.6pt;height:20.1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HH+9MtoBAACYAwAADgAAAAAAAAAAAAAAAAAuAgAAZHJzL2Uyb0RvYy54bWxQSwECLQAUAAYACAAA&#10;ACEADWD7Xt8AAAAKAQAADwAAAAAAAAAAAAAAAAA0BAAAZHJzL2Rvd25yZXYueG1sUEsFBgAAAAAE&#10;AAQA8wAAAEAFAAAAAA==&#10;">
              <v:textbox inset="0,0,0,0">
                <w:txbxContent>
                  <w:p w:rsidR="007A3F6D" w:rsidP="009B58B4" w:rsidRDefault="007A3F6D" w14:paraId="578FECCE" w14:textId="77777777">
                    <w:pPr>
                      <w:pStyle w:val="MacPacTrailer"/>
                    </w:pPr>
                    <w:r>
                      <w:t>DB2/ 40287883.10</w:t>
                    </w:r>
                  </w:p>
                  <w:p w:rsidR="007A3F6D" w:rsidP="009B58B4" w:rsidRDefault="007A3F6D" w14:paraId="477C8289" w14:textId="77777777">
                    <w:pPr>
                      <w:pStyle w:val="MacPacTrailer"/>
                    </w:pPr>
                  </w:p>
                </w:txbxContent>
              </v:textbox>
              <w10:wrap anchorx="margin"/>
            </v:shape>
          </w:pict>
        </mc:Fallback>
      </mc:AlternateContent>
    </w:r>
  </w:p>
</w:ftr>
</file>

<file path=word/footer10.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5BAE0021" w14:textId="77777777">
    <w:pPr>
      <w:pStyle w:val="Footer"/>
    </w:pPr>
    <w:r>
      <w:tab/>
    </w:r>
    <w:r>
      <w:t>A-</w:t>
    </w:r>
    <w:r>
      <w:fldChar w:fldCharType="begin"/>
    </w:r>
    <w:r>
      <w:instrText xml:space="preserve"> PAGE   \* MERGEFORMAT </w:instrText>
    </w:r>
    <w:r>
      <w:fldChar w:fldCharType="separate"/>
    </w:r>
    <w:r>
      <w:rPr>
        <w:noProof/>
      </w:rPr>
      <w:t>1</w:t>
    </w:r>
    <w:r>
      <w:fldChar w:fldCharType="end"/>
    </w:r>
  </w:p>
  <w:p w:rsidR="007A3F6D" w:rsidP="009B58B4" w:rsidRDefault="00B30290" w14:paraId="3D47EAA0" w14:textId="77777777">
    <w:pPr>
      <w:pStyle w:val="Footer"/>
    </w:pPr>
    <w:r>
      <w:rPr>
        <w:noProof/>
      </w:rPr>
      <mc:AlternateContent>
        <mc:Choice Requires="wps">
          <w:drawing>
            <wp:anchor distT="0" distB="0" distL="114300" distR="114300" simplePos="0" relativeHeight="251669504" behindDoc="0" locked="0" layoutInCell="1" allowOverlap="1" wp14:editId="538D1B2E" wp14:anchorId="192FA301">
              <wp:simplePos x="0" y="0"/>
              <wp:positionH relativeFrom="margin">
                <wp:posOffset>-76200</wp:posOffset>
              </wp:positionH>
              <wp:positionV relativeFrom="paragraph">
                <wp:posOffset>-3810</wp:posOffset>
              </wp:positionV>
              <wp:extent cx="2560320" cy="255905"/>
              <wp:effectExtent l="0" t="0" r="11430" b="10795"/>
              <wp:wrapNone/>
              <wp:docPr id="25"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77A5677A" w14:textId="77777777">
                          <w:pPr>
                            <w:pStyle w:val="MacPacTrailer"/>
                          </w:pPr>
                          <w:r>
                            <w:t>DB2/ 40287883.10</w:t>
                          </w:r>
                        </w:p>
                        <w:p w:rsidR="007A3F6D" w:rsidP="009B58B4" w:rsidRDefault="007A3F6D" w14:paraId="1F7FA07E"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192FA301">
              <v:stroke joinstyle="miter"/>
              <v:path gradientshapeok="t" o:connecttype="rect"/>
            </v:shapetype>
            <v:shape id="Text Box 1" style="position:absolute;margin-left:-6pt;margin-top:-.3pt;width:201.6pt;height:20.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o:spid="_x0000_s1030"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M/7ryCMCAABKBAAADgAAAAAAAAAAAAAAAAAuAgAAZHJzL2Uyb0RvYy54&#10;bWxQSwECLQAUAAYACAAAACEAi1v37N4AAAAIAQAADwAAAAAAAAAAAAAAAAB9BAAAZHJzL2Rvd25y&#10;ZXYueG1sUEsFBgAAAAAEAAQA8wAAAIgFAAAAAA==&#10;">
              <v:textbox inset="0,0,0,0">
                <w:txbxContent>
                  <w:p w:rsidR="007A3F6D" w:rsidP="009B58B4" w:rsidRDefault="007A3F6D" w14:paraId="77A5677A" w14:textId="77777777">
                    <w:pPr>
                      <w:pStyle w:val="MacPacTrailer"/>
                    </w:pPr>
                    <w:r>
                      <w:t>DB2/ 40287883.10</w:t>
                    </w:r>
                  </w:p>
                  <w:p w:rsidR="007A3F6D" w:rsidP="009B58B4" w:rsidRDefault="007A3F6D" w14:paraId="1F7FA07E" w14:textId="77777777">
                    <w:pPr>
                      <w:pStyle w:val="MacPacTrailer"/>
                    </w:pPr>
                  </w:p>
                </w:txbxContent>
              </v:textbox>
              <w10:wrap anchorx="margin"/>
            </v:shape>
          </w:pict>
        </mc:Fallback>
      </mc:AlternateContent>
    </w:r>
  </w:p>
</w:ftr>
</file>

<file path=word/footer11.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36E71B64" w14:textId="77777777">
    <w:pPr>
      <w:pStyle w:val="Footer"/>
    </w:pPr>
    <w:r>
      <w:tab/>
    </w:r>
    <w:r>
      <w:t>B-</w:t>
    </w:r>
    <w:r>
      <w:fldChar w:fldCharType="begin"/>
    </w:r>
    <w:r>
      <w:instrText xml:space="preserve"> PAGE   \* MERGEFORMAT </w:instrText>
    </w:r>
    <w:r>
      <w:fldChar w:fldCharType="separate"/>
    </w:r>
    <w:r>
      <w:rPr>
        <w:noProof/>
      </w:rPr>
      <w:t>1</w:t>
    </w:r>
    <w:r>
      <w:fldChar w:fldCharType="end"/>
    </w:r>
  </w:p>
  <w:p w:rsidR="007A3F6D" w:rsidP="009B58B4" w:rsidRDefault="00B30290" w14:paraId="5B129A14" w14:textId="77777777">
    <w:pPr>
      <w:pStyle w:val="Footer"/>
    </w:pPr>
    <w:r>
      <w:rPr>
        <w:noProof/>
      </w:rPr>
      <mc:AlternateContent>
        <mc:Choice Requires="wps">
          <w:drawing>
            <wp:anchor distT="0" distB="0" distL="114300" distR="114300" simplePos="0" relativeHeight="251671552" behindDoc="0" locked="0" layoutInCell="1" allowOverlap="1" wp14:editId="4A639598" wp14:anchorId="675887EE">
              <wp:simplePos x="0" y="0"/>
              <wp:positionH relativeFrom="margin">
                <wp:posOffset>-76200</wp:posOffset>
              </wp:positionH>
              <wp:positionV relativeFrom="paragraph">
                <wp:posOffset>-3810</wp:posOffset>
              </wp:positionV>
              <wp:extent cx="2560320" cy="255905"/>
              <wp:effectExtent l="0" t="0" r="11430" b="10795"/>
              <wp:wrapNone/>
              <wp:docPr id="24"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7DC23EB9" w14:textId="77777777">
                          <w:pPr>
                            <w:pStyle w:val="MacPacTrailer"/>
                          </w:pPr>
                          <w:r>
                            <w:t>DB2/ 40287883.10</w:t>
                          </w:r>
                        </w:p>
                        <w:p w:rsidR="007A3F6D" w:rsidP="009B58B4" w:rsidRDefault="007A3F6D" w14:paraId="1FED439C"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75887EE">
              <v:stroke joinstyle="miter"/>
              <v:path gradientshapeok="t" o:connecttype="rect"/>
            </v:shapetype>
            <v:shape id="_x0000_s1031" style="position:absolute;margin-left:-6pt;margin-top:-.3pt;width:201.6pt;height:20.1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">
              <v:textbox inset="0,0,0,0">
                <w:txbxContent>
                  <w:p w:rsidR="007A3F6D" w:rsidP="009B58B4" w:rsidRDefault="007A3F6D" w14:paraId="7DC23EB9" w14:textId="77777777">
                    <w:pPr>
                      <w:pStyle w:val="MacPacTrailer"/>
                    </w:pPr>
                    <w:r>
                      <w:t>DB2/ 40287883.10</w:t>
                    </w:r>
                  </w:p>
                  <w:p w:rsidR="007A3F6D" w:rsidP="009B58B4" w:rsidRDefault="007A3F6D" w14:paraId="1FED439C" w14:textId="77777777">
                    <w:pPr>
                      <w:pStyle w:val="MacPacTrailer"/>
                    </w:pPr>
                  </w:p>
                </w:txbxContent>
              </v:textbox>
              <w10:wrap anchorx="margin"/>
            </v:shape>
          </w:pict>
        </mc:Fallback>
      </mc:AlternateContent>
    </w:r>
  </w:p>
</w:ftr>
</file>

<file path=word/footer12.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6CC8C2D1" w14:textId="77777777">
    <w:pPr>
      <w:pStyle w:val="Footer"/>
    </w:pPr>
    <w:r>
      <w:tab/>
    </w:r>
    <w:r>
      <w:rPr>
        <w:lang w:val="en-US"/>
      </w:rPr>
      <w:t>C</w:t>
    </w:r>
    <w:r>
      <w:t>-</w:t>
    </w:r>
    <w:r>
      <w:fldChar w:fldCharType="begin"/>
    </w:r>
    <w:r>
      <w:instrText xml:space="preserve"> PAGE   \* MERGEFORMAT </w:instrText>
    </w:r>
    <w:r>
      <w:fldChar w:fldCharType="separate"/>
    </w:r>
    <w:r>
      <w:rPr>
        <w:noProof/>
      </w:rPr>
      <w:t>2</w:t>
    </w:r>
    <w:r>
      <w:fldChar w:fldCharType="end"/>
    </w:r>
  </w:p>
  <w:p w:rsidR="007A3F6D" w:rsidP="009B58B4" w:rsidRDefault="00B30290" w14:paraId="6CE6AF81" w14:textId="77777777">
    <w:pPr>
      <w:pStyle w:val="Footer"/>
    </w:pPr>
    <w:r>
      <w:rPr>
        <w:noProof/>
      </w:rPr>
      <mc:AlternateContent>
        <mc:Choice Requires="wps">
          <w:drawing>
            <wp:anchor distT="0" distB="0" distL="114300" distR="114300" simplePos="0" relativeHeight="251673600" behindDoc="1" locked="0" layoutInCell="1" allowOverlap="1" wp14:editId="5959A825" wp14:anchorId="696EC3C7">
              <wp:simplePos x="0" y="0"/>
              <wp:positionH relativeFrom="margin">
                <wp:posOffset>-67945</wp:posOffset>
              </wp:positionH>
              <wp:positionV relativeFrom="paragraph">
                <wp:posOffset>-111125</wp:posOffset>
              </wp:positionV>
              <wp:extent cx="2560320" cy="255905"/>
              <wp:effectExtent l="0" t="0" r="11430" b="10795"/>
              <wp:wrapNone/>
              <wp:docPr id="23"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0AACE511" w14:textId="77777777">
                          <w:pPr>
                            <w:pStyle w:val="MacPacTrailer"/>
                          </w:pPr>
                          <w:r>
                            <w:t>DB2/ 40287883.10</w:t>
                          </w:r>
                        </w:p>
                        <w:p w:rsidR="007A3F6D" w:rsidP="009B58B4" w:rsidRDefault="007A3F6D" w14:paraId="25DC760C"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696EC3C7">
              <v:stroke joinstyle="miter"/>
              <v:path gradientshapeok="t" o:connecttype="rect"/>
            </v:shapetype>
            <v:shape id="_x0000_s1032" style="position:absolute;margin-left:-5.35pt;margin-top:-8.75pt;width:201.6pt;height:20.15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IkHN6toBAACYAwAADgAAAAAAAAAAAAAAAAAuAgAAZHJzL2Uyb0RvYy54bWxQSwECLQAUAAYACAAA&#10;ACEADWD7Xt8AAAAKAQAADwAAAAAAAAAAAAAAAAA0BAAAZHJzL2Rvd25yZXYueG1sUEsFBgAAAAAE&#10;AAQA8wAAAEAFAAAAAA==&#10;">
              <v:textbox inset="0,0,0,0">
                <w:txbxContent>
                  <w:p w:rsidR="007A3F6D" w:rsidP="009B58B4" w:rsidRDefault="007A3F6D" w14:paraId="0AACE511" w14:textId="77777777">
                    <w:pPr>
                      <w:pStyle w:val="MacPacTrailer"/>
                    </w:pPr>
                    <w:r>
                      <w:t>DB2/ 40287883.10</w:t>
                    </w:r>
                  </w:p>
                  <w:p w:rsidR="007A3F6D" w:rsidP="009B58B4" w:rsidRDefault="007A3F6D" w14:paraId="25DC760C" w14:textId="77777777">
                    <w:pPr>
                      <w:pStyle w:val="MacPacTrailer"/>
                    </w:pPr>
                  </w:p>
                </w:txbxContent>
              </v:textbox>
              <w10:wrap anchorx="margin"/>
            </v:shape>
          </w:pict>
        </mc:Fallback>
      </mc:AlternateContent>
    </w:r>
  </w:p>
</w:ftr>
</file>

<file path=word/footer13.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204F0D80" w14:textId="77777777">
    <w:pPr>
      <w:pStyle w:val="Footer"/>
    </w:pPr>
    <w:r>
      <w:tab/>
    </w:r>
    <w:r>
      <w:t>C-</w:t>
    </w:r>
    <w:r>
      <w:fldChar w:fldCharType="begin"/>
    </w:r>
    <w:r>
      <w:instrText xml:space="preserve"> PAGE   \* MERGEFORMAT </w:instrText>
    </w:r>
    <w:r>
      <w:fldChar w:fldCharType="separate"/>
    </w:r>
    <w:r>
      <w:rPr>
        <w:noProof/>
      </w:rPr>
      <w:t>1</w:t>
    </w:r>
    <w:r>
      <w:fldChar w:fldCharType="end"/>
    </w:r>
  </w:p>
  <w:p w:rsidR="007A3F6D" w:rsidP="009B58B4" w:rsidRDefault="00B30290" w14:paraId="13C59C8D" w14:textId="77777777">
    <w:pPr>
      <w:pStyle w:val="Footer"/>
    </w:pPr>
    <w:r>
      <w:rPr>
        <w:noProof/>
      </w:rPr>
      <mc:AlternateContent>
        <mc:Choice Requires="wps">
          <w:drawing>
            <wp:anchor distT="0" distB="0" distL="114300" distR="114300" simplePos="0" relativeHeight="251675648" behindDoc="0" locked="0" layoutInCell="1" allowOverlap="1" wp14:editId="5F2AF28E" wp14:anchorId="5F948123">
              <wp:simplePos x="0" y="0"/>
              <wp:positionH relativeFrom="margin">
                <wp:posOffset>-76200</wp:posOffset>
              </wp:positionH>
              <wp:positionV relativeFrom="paragraph">
                <wp:posOffset>-3810</wp:posOffset>
              </wp:positionV>
              <wp:extent cx="2560320" cy="255905"/>
              <wp:effectExtent l="0" t="0" r="11430" b="10795"/>
              <wp:wrapNone/>
              <wp:docPr id="22"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227B1320" w14:textId="77777777">
                          <w:pPr>
                            <w:pStyle w:val="MacPacTrailer"/>
                          </w:pPr>
                          <w:r>
                            <w:t>DB2/ 40287883.10</w:t>
                          </w:r>
                        </w:p>
                        <w:p w:rsidR="007A3F6D" w:rsidP="009B58B4" w:rsidRDefault="007A3F6D" w14:paraId="66997576"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F948123">
              <v:stroke joinstyle="miter"/>
              <v:path gradientshapeok="t" o:connecttype="rect"/>
            </v:shapetype>
            <v:shape id="_x0000_s1033" style="position:absolute;margin-left:-6pt;margin-top:-.3pt;width:201.6pt;height:20.1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sBaGpyMCAABKBAAADgAAAAAAAAAAAAAAAAAuAgAAZHJzL2Uyb0RvYy54&#10;bWxQSwECLQAUAAYACAAAACEAi1v37N4AAAAIAQAADwAAAAAAAAAAAAAAAAB9BAAAZHJzL2Rvd25y&#10;ZXYueG1sUEsFBgAAAAAEAAQA8wAAAIgFAAAAAA==&#10;">
              <v:textbox inset="0,0,0,0">
                <w:txbxContent>
                  <w:p w:rsidR="007A3F6D" w:rsidP="009B58B4" w:rsidRDefault="007A3F6D" w14:paraId="227B1320" w14:textId="77777777">
                    <w:pPr>
                      <w:pStyle w:val="MacPacTrailer"/>
                    </w:pPr>
                    <w:r>
                      <w:t>DB2/ 40287883.10</w:t>
                    </w:r>
                  </w:p>
                  <w:p w:rsidR="007A3F6D" w:rsidP="009B58B4" w:rsidRDefault="007A3F6D" w14:paraId="66997576" w14:textId="77777777">
                    <w:pPr>
                      <w:pStyle w:val="MacPacTrailer"/>
                    </w:pPr>
                  </w:p>
                </w:txbxContent>
              </v:textbox>
              <w10:wrap anchorx="margin"/>
            </v:shape>
          </w:pict>
        </mc:Fallback>
      </mc:AlternateContent>
    </w:r>
  </w:p>
</w:ftr>
</file>

<file path=word/footer14.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DB27CDE" w14:textId="77777777">
    <w:pPr>
      <w:pStyle w:val="Footer"/>
    </w:pPr>
    <w:r>
      <w:tab/>
    </w:r>
    <w:r>
      <w:t>G-</w:t>
    </w:r>
    <w:r>
      <w:fldChar w:fldCharType="begin"/>
    </w:r>
    <w:r>
      <w:instrText xml:space="preserve"> PAGE   \* MERGEFORMAT </w:instrText>
    </w:r>
    <w:r>
      <w:fldChar w:fldCharType="separate"/>
    </w:r>
    <w:r>
      <w:rPr>
        <w:noProof/>
      </w:rPr>
      <w:t>2</w:t>
    </w:r>
    <w:r>
      <w:fldChar w:fldCharType="end"/>
    </w:r>
  </w:p>
  <w:p w:rsidR="007A3F6D" w:rsidP="009B58B4" w:rsidRDefault="00B30290" w14:paraId="536D26BD" w14:textId="77777777">
    <w:pPr>
      <w:pStyle w:val="Footer"/>
    </w:pPr>
    <w:r>
      <w:rPr>
        <w:noProof/>
      </w:rPr>
      <mc:AlternateContent>
        <mc:Choice Requires="wps">
          <w:drawing>
            <wp:anchor distT="0" distB="0" distL="114300" distR="114300" simplePos="0" relativeHeight="251677696" behindDoc="1" locked="0" layoutInCell="1" allowOverlap="1" wp14:editId="05CAA3BE" wp14:anchorId="0DA81F6F">
              <wp:simplePos x="0" y="0"/>
              <wp:positionH relativeFrom="margin">
                <wp:posOffset>-67945</wp:posOffset>
              </wp:positionH>
              <wp:positionV relativeFrom="paragraph">
                <wp:posOffset>-111125</wp:posOffset>
              </wp:positionV>
              <wp:extent cx="2560320" cy="255905"/>
              <wp:effectExtent l="0" t="0" r="11430" b="10795"/>
              <wp:wrapNone/>
              <wp:docPr id="21"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226FB4E0" w14:textId="77777777">
                          <w:pPr>
                            <w:pStyle w:val="MacPacTrailer"/>
                          </w:pPr>
                          <w:r>
                            <w:t>DB2/ 40287883.10</w:t>
                          </w:r>
                        </w:p>
                        <w:p w:rsidR="007A3F6D" w:rsidP="009B58B4" w:rsidRDefault="007A3F6D" w14:paraId="327AC3AD"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DA81F6F">
              <v:stroke joinstyle="miter"/>
              <v:path gradientshapeok="t" o:connecttype="rect"/>
            </v:shapetype>
            <v:shape id="_x0000_s1034" style="position:absolute;margin-left:-5.35pt;margin-top:-8.75pt;width:201.6pt;height:20.1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kveGDNoBAACYAwAADgAAAAAAAAAAAAAAAAAuAgAAZHJzL2Uyb0RvYy54bWxQSwECLQAUAAYACAAA&#10;ACEADWD7Xt8AAAAKAQAADwAAAAAAAAAAAAAAAAA0BAAAZHJzL2Rvd25yZXYueG1sUEsFBgAAAAAE&#10;AAQA8wAAAEAFAAAAAA==&#10;">
              <v:textbox inset="0,0,0,0">
                <w:txbxContent>
                  <w:p w:rsidR="007A3F6D" w:rsidP="009B58B4" w:rsidRDefault="007A3F6D" w14:paraId="226FB4E0" w14:textId="77777777">
                    <w:pPr>
                      <w:pStyle w:val="MacPacTrailer"/>
                    </w:pPr>
                    <w:r>
                      <w:t>DB2/ 40287883.10</w:t>
                    </w:r>
                  </w:p>
                  <w:p w:rsidR="007A3F6D" w:rsidP="009B58B4" w:rsidRDefault="007A3F6D" w14:paraId="327AC3AD" w14:textId="77777777">
                    <w:pPr>
                      <w:pStyle w:val="MacPacTrailer"/>
                    </w:pPr>
                  </w:p>
                </w:txbxContent>
              </v:textbox>
              <w10:wrap anchorx="margin"/>
            </v:shape>
          </w:pict>
        </mc:Fallback>
      </mc:AlternateContent>
    </w:r>
  </w:p>
</w:ftr>
</file>

<file path=word/footer15.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096B837D" w14:textId="77777777">
    <w:pPr>
      <w:pStyle w:val="Footer"/>
    </w:pPr>
    <w:r>
      <w:tab/>
    </w:r>
    <w:r>
      <w:t>D-</w:t>
    </w:r>
    <w:r>
      <w:fldChar w:fldCharType="begin"/>
    </w:r>
    <w:r>
      <w:instrText xml:space="preserve"> PAGE   \* MERGEFORMAT </w:instrText>
    </w:r>
    <w:r>
      <w:fldChar w:fldCharType="separate"/>
    </w:r>
    <w:r>
      <w:rPr>
        <w:noProof/>
      </w:rPr>
      <w:t>1</w:t>
    </w:r>
    <w:r>
      <w:fldChar w:fldCharType="end"/>
    </w:r>
  </w:p>
  <w:p w:rsidR="007A3F6D" w:rsidP="009B58B4" w:rsidRDefault="00B30290" w14:paraId="7CA00DE6" w14:textId="77777777">
    <w:pPr>
      <w:pStyle w:val="Footer"/>
    </w:pPr>
    <w:r>
      <w:rPr>
        <w:noProof/>
      </w:rPr>
      <mc:AlternateContent>
        <mc:Choice Requires="wps">
          <w:drawing>
            <wp:anchor distT="0" distB="0" distL="114300" distR="114300" simplePos="0" relativeHeight="251679744" behindDoc="0" locked="0" layoutInCell="1" allowOverlap="1" wp14:editId="5AD142DE" wp14:anchorId="49F86F43">
              <wp:simplePos x="0" y="0"/>
              <wp:positionH relativeFrom="margin">
                <wp:posOffset>-76200</wp:posOffset>
              </wp:positionH>
              <wp:positionV relativeFrom="paragraph">
                <wp:posOffset>-3810</wp:posOffset>
              </wp:positionV>
              <wp:extent cx="2560320" cy="255905"/>
              <wp:effectExtent l="0" t="0" r="11430" b="10795"/>
              <wp:wrapNone/>
              <wp:docPr id="20"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79EA26E4" w14:textId="77777777">
                          <w:pPr>
                            <w:pStyle w:val="MacPacTrailer"/>
                          </w:pPr>
                          <w:r>
                            <w:t>DB2/ 40287883.10</w:t>
                          </w:r>
                        </w:p>
                        <w:p w:rsidR="007A3F6D" w:rsidP="009B58B4" w:rsidRDefault="007A3F6D" w14:paraId="26E30073"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49F86F43">
              <v:stroke joinstyle="miter"/>
              <v:path gradientshapeok="t" o:connecttype="rect"/>
            </v:shapetype>
            <v:shape id="_x0000_s1035" style="position:absolute;margin-left:-6pt;margin-top:-.3pt;width:201.6pt;height:20.1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0JiyMCAABKBAAADgAAAAAAAAAAAAAAAAAuAgAAZHJzL2Uyb0RvYy54&#10;bWxQSwECLQAUAAYACAAAACEAi1v37N4AAAAIAQAADwAAAAAAAAAAAAAAAAB9BAAAZHJzL2Rvd25y&#10;ZXYueG1sUEsFBgAAAAAEAAQA8wAAAIgFAAAAAA==&#10;">
              <v:textbox inset="0,0,0,0">
                <w:txbxContent>
                  <w:p w:rsidR="007A3F6D" w:rsidP="009B58B4" w:rsidRDefault="007A3F6D" w14:paraId="79EA26E4" w14:textId="77777777">
                    <w:pPr>
                      <w:pStyle w:val="MacPacTrailer"/>
                    </w:pPr>
                    <w:r>
                      <w:t>DB2/ 40287883.10</w:t>
                    </w:r>
                  </w:p>
                  <w:p w:rsidR="007A3F6D" w:rsidP="009B58B4" w:rsidRDefault="007A3F6D" w14:paraId="26E30073" w14:textId="77777777">
                    <w:pPr>
                      <w:pStyle w:val="MacPacTrailer"/>
                    </w:pPr>
                  </w:p>
                </w:txbxContent>
              </v:textbox>
              <w10:wrap anchorx="margin"/>
            </v:shape>
          </w:pict>
        </mc:Fallback>
      </mc:AlternateContent>
    </w:r>
  </w:p>
</w:ftr>
</file>

<file path=word/footer16.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3E9D057B" w14:textId="77777777">
    <w:pPr>
      <w:pStyle w:val="Footer"/>
    </w:pPr>
    <w:r>
      <w:tab/>
    </w:r>
    <w:r>
      <w:t>E-</w:t>
    </w:r>
    <w:r>
      <w:fldChar w:fldCharType="begin"/>
    </w:r>
    <w:r>
      <w:instrText xml:space="preserve"> PAGE   \* MERGEFORMAT </w:instrText>
    </w:r>
    <w:r>
      <w:fldChar w:fldCharType="separate"/>
    </w:r>
    <w:r>
      <w:rPr>
        <w:noProof/>
      </w:rPr>
      <w:t>2</w:t>
    </w:r>
    <w:r>
      <w:fldChar w:fldCharType="end"/>
    </w:r>
  </w:p>
  <w:p w:rsidR="007A3F6D" w:rsidP="009B58B4" w:rsidRDefault="00B30290" w14:paraId="28E8169A" w14:textId="77777777">
    <w:pPr>
      <w:pStyle w:val="Footer"/>
    </w:pPr>
    <w:r>
      <w:rPr>
        <w:noProof/>
      </w:rPr>
      <mc:AlternateContent>
        <mc:Choice Requires="wps">
          <w:drawing>
            <wp:anchor distT="0" distB="0" distL="114300" distR="114300" simplePos="0" relativeHeight="251681792" behindDoc="1" locked="0" layoutInCell="1" allowOverlap="1" wp14:editId="5E105CEF" wp14:anchorId="28FF1D36">
              <wp:simplePos x="0" y="0"/>
              <wp:positionH relativeFrom="margin">
                <wp:posOffset>-67945</wp:posOffset>
              </wp:positionH>
              <wp:positionV relativeFrom="paragraph">
                <wp:posOffset>-111125</wp:posOffset>
              </wp:positionV>
              <wp:extent cx="2560320" cy="255905"/>
              <wp:effectExtent l="0" t="0" r="11430" b="10795"/>
              <wp:wrapNone/>
              <wp:docPr id="19"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0A1DAF13" w14:textId="77777777">
                          <w:pPr>
                            <w:pStyle w:val="MacPacTrailer"/>
                          </w:pPr>
                          <w:r>
                            <w:t>DB2/ 40287883.10</w:t>
                          </w:r>
                        </w:p>
                        <w:p w:rsidR="007A3F6D" w:rsidP="009B58B4" w:rsidRDefault="007A3F6D" w14:paraId="2FD230C3"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28FF1D36">
              <v:stroke joinstyle="miter"/>
              <v:path gradientshapeok="t" o:connecttype="rect"/>
            </v:shapetype>
            <v:shape id="_x0000_s1036" style="position:absolute;margin-left:-5.35pt;margin-top:-8.75pt;width:201.6pt;height:20.15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ZhD3r9oBAACZAwAADgAAAAAAAAAAAAAAAAAuAgAAZHJzL2Uyb0RvYy54bWxQSwECLQAUAAYACAAA&#10;ACEADWD7Xt8AAAAKAQAADwAAAAAAAAAAAAAAAAA0BAAAZHJzL2Rvd25yZXYueG1sUEsFBgAAAAAE&#10;AAQA8wAAAEAFAAAAAA==&#10;">
              <v:textbox inset="0,0,0,0">
                <w:txbxContent>
                  <w:p w:rsidR="007A3F6D" w:rsidP="009B58B4" w:rsidRDefault="007A3F6D" w14:paraId="0A1DAF13" w14:textId="77777777">
                    <w:pPr>
                      <w:pStyle w:val="MacPacTrailer"/>
                    </w:pPr>
                    <w:r>
                      <w:t>DB2/ 40287883.10</w:t>
                    </w:r>
                  </w:p>
                  <w:p w:rsidR="007A3F6D" w:rsidP="009B58B4" w:rsidRDefault="007A3F6D" w14:paraId="2FD230C3" w14:textId="77777777">
                    <w:pPr>
                      <w:pStyle w:val="MacPacTrailer"/>
                    </w:pPr>
                  </w:p>
                </w:txbxContent>
              </v:textbox>
              <w10:wrap anchorx="margin"/>
            </v:shape>
          </w:pict>
        </mc:Fallback>
      </mc:AlternateContent>
    </w:r>
  </w:p>
</w:ftr>
</file>

<file path=word/footer17.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2B28635A" w14:textId="77777777">
    <w:pPr>
      <w:pStyle w:val="Footer"/>
    </w:pPr>
    <w:r>
      <w:tab/>
    </w:r>
    <w:r>
      <w:t>E-</w:t>
    </w:r>
    <w:r>
      <w:fldChar w:fldCharType="begin"/>
    </w:r>
    <w:r>
      <w:instrText xml:space="preserve"> PAGE   \* MERGEFORMAT </w:instrText>
    </w:r>
    <w:r>
      <w:fldChar w:fldCharType="separate"/>
    </w:r>
    <w:r>
      <w:rPr>
        <w:noProof/>
      </w:rPr>
      <w:t>1</w:t>
    </w:r>
    <w:r>
      <w:fldChar w:fldCharType="end"/>
    </w:r>
  </w:p>
  <w:p w:rsidR="007A3F6D" w:rsidP="009B58B4" w:rsidRDefault="00B30290" w14:paraId="4778334F" w14:textId="77777777">
    <w:pPr>
      <w:pStyle w:val="Footer"/>
    </w:pPr>
    <w:r>
      <w:rPr>
        <w:noProof/>
      </w:rPr>
      <mc:AlternateContent>
        <mc:Choice Requires="wps">
          <w:drawing>
            <wp:anchor distT="0" distB="0" distL="114300" distR="114300" simplePos="0" relativeHeight="251683840" behindDoc="0" locked="0" layoutInCell="1" allowOverlap="1" wp14:editId="49191AD1" wp14:anchorId="34CA1F22">
              <wp:simplePos x="0" y="0"/>
              <wp:positionH relativeFrom="margin">
                <wp:posOffset>-76200</wp:posOffset>
              </wp:positionH>
              <wp:positionV relativeFrom="paragraph">
                <wp:posOffset>-3810</wp:posOffset>
              </wp:positionV>
              <wp:extent cx="2560320" cy="255905"/>
              <wp:effectExtent l="0" t="0" r="11430" b="10795"/>
              <wp:wrapNone/>
              <wp:docPr id="18"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4128C3AB" w14:textId="77777777">
                          <w:pPr>
                            <w:pStyle w:val="MacPacTrailer"/>
                          </w:pPr>
                          <w:r>
                            <w:t>DB2/ 40287883.10</w:t>
                          </w:r>
                        </w:p>
                        <w:p w:rsidR="007A3F6D" w:rsidP="009B58B4" w:rsidRDefault="007A3F6D" w14:paraId="53E74F89"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CA1F22">
              <v:stroke joinstyle="miter"/>
              <v:path gradientshapeok="t" o:connecttype="rect"/>
            </v:shapetype>
            <v:shape id="_x0000_s1037" style="position:absolute;margin-left:-6pt;margin-top:-.3pt;width:201.6pt;height:20.1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MQao5SMCAABLBAAADgAAAAAAAAAAAAAAAAAuAgAAZHJzL2Uyb0RvYy54&#10;bWxQSwECLQAUAAYACAAAACEAi1v37N4AAAAIAQAADwAAAAAAAAAAAAAAAAB9BAAAZHJzL2Rvd25y&#10;ZXYueG1sUEsFBgAAAAAEAAQA8wAAAIgFAAAAAA==&#10;">
              <v:textbox inset="0,0,0,0">
                <w:txbxContent>
                  <w:p w:rsidR="007A3F6D" w:rsidP="009B58B4" w:rsidRDefault="007A3F6D" w14:paraId="4128C3AB" w14:textId="77777777">
                    <w:pPr>
                      <w:pStyle w:val="MacPacTrailer"/>
                    </w:pPr>
                    <w:r>
                      <w:t>DB2/ 40287883.10</w:t>
                    </w:r>
                  </w:p>
                  <w:p w:rsidR="007A3F6D" w:rsidP="009B58B4" w:rsidRDefault="007A3F6D" w14:paraId="53E74F89" w14:textId="77777777">
                    <w:pPr>
                      <w:pStyle w:val="MacPacTrailer"/>
                    </w:pPr>
                  </w:p>
                </w:txbxContent>
              </v:textbox>
              <w10:wrap anchorx="margin"/>
            </v:shape>
          </w:pict>
        </mc:Fallback>
      </mc:AlternateContent>
    </w:r>
  </w:p>
</w:ftr>
</file>

<file path=word/footer18.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0679CCB6" w14:textId="77777777">
    <w:pPr>
      <w:pStyle w:val="Footer"/>
    </w:pPr>
    <w:r>
      <w:tab/>
    </w:r>
    <w:r>
      <w:t>F-</w:t>
    </w:r>
    <w:r>
      <w:fldChar w:fldCharType="begin"/>
    </w:r>
    <w:r>
      <w:instrText xml:space="preserve"> PAGE   \* MERGEFORMAT </w:instrText>
    </w:r>
    <w:r>
      <w:fldChar w:fldCharType="separate"/>
    </w:r>
    <w:r>
      <w:rPr>
        <w:noProof/>
      </w:rPr>
      <w:t>1</w:t>
    </w:r>
    <w:r>
      <w:fldChar w:fldCharType="end"/>
    </w:r>
  </w:p>
  <w:p w:rsidR="007A3F6D" w:rsidP="009B58B4" w:rsidRDefault="00B30290" w14:paraId="09AF2050" w14:textId="77777777">
    <w:pPr>
      <w:pStyle w:val="Footer"/>
    </w:pPr>
    <w:r>
      <w:rPr>
        <w:noProof/>
      </w:rPr>
      <mc:AlternateContent>
        <mc:Choice Requires="wps">
          <w:drawing>
            <wp:anchor distT="0" distB="0" distL="114300" distR="114300" simplePos="0" relativeHeight="251685888" behindDoc="0" locked="0" layoutInCell="1" allowOverlap="1" wp14:editId="5AA1E3D5" wp14:anchorId="632697FE">
              <wp:simplePos x="0" y="0"/>
              <wp:positionH relativeFrom="margin">
                <wp:posOffset>-76200</wp:posOffset>
              </wp:positionH>
              <wp:positionV relativeFrom="paragraph">
                <wp:posOffset>-3810</wp:posOffset>
              </wp:positionV>
              <wp:extent cx="2560320" cy="255905"/>
              <wp:effectExtent l="0" t="0" r="11430" b="10795"/>
              <wp:wrapNone/>
              <wp:docPr id="17"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0388E01B" w14:textId="77777777">
                          <w:pPr>
                            <w:pStyle w:val="MacPacTrailer"/>
                          </w:pPr>
                          <w:r>
                            <w:t>DB2/ 40287883.10</w:t>
                          </w:r>
                        </w:p>
                        <w:p w:rsidR="007A3F6D" w:rsidP="009B58B4" w:rsidRDefault="007A3F6D" w14:paraId="350A0CB4"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32697FE">
              <v:stroke joinstyle="miter"/>
              <v:path gradientshapeok="t" o:connecttype="rect"/>
            </v:shapetype>
            <v:shape id="_x0000_s1038" style="position:absolute;margin-left:-6pt;margin-top:-.3pt;width:201.6pt;height:20.1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su7FiiMCAABLBAAADgAAAAAAAAAAAAAAAAAuAgAAZHJzL2Uyb0RvYy54&#10;bWxQSwECLQAUAAYACAAAACEAi1v37N4AAAAIAQAADwAAAAAAAAAAAAAAAAB9BAAAZHJzL2Rvd25y&#10;ZXYueG1sUEsFBgAAAAAEAAQA8wAAAIgFAAAAAA==&#10;">
              <v:textbox inset="0,0,0,0">
                <w:txbxContent>
                  <w:p w:rsidR="007A3F6D" w:rsidP="009B58B4" w:rsidRDefault="007A3F6D" w14:paraId="0388E01B" w14:textId="77777777">
                    <w:pPr>
                      <w:pStyle w:val="MacPacTrailer"/>
                    </w:pPr>
                    <w:r>
                      <w:t>DB2/ 40287883.10</w:t>
                    </w:r>
                  </w:p>
                  <w:p w:rsidR="007A3F6D" w:rsidP="009B58B4" w:rsidRDefault="007A3F6D" w14:paraId="350A0CB4" w14:textId="77777777">
                    <w:pPr>
                      <w:pStyle w:val="MacPacTrailer"/>
                    </w:pPr>
                  </w:p>
                </w:txbxContent>
              </v:textbox>
              <w10:wrap anchorx="margin"/>
            </v:shape>
          </w:pict>
        </mc:Fallback>
      </mc:AlternateContent>
    </w:r>
  </w:p>
</w:ftr>
</file>

<file path=word/footer19.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60FADF95" w14:textId="77777777">
    <w:pPr>
      <w:pStyle w:val="Footer"/>
    </w:pPr>
    <w:r>
      <w:tab/>
    </w:r>
    <w:r>
      <w:t>G-</w:t>
    </w:r>
    <w:r>
      <w:fldChar w:fldCharType="begin"/>
    </w:r>
    <w:r>
      <w:instrText xml:space="preserve"> PAGE   \* MERGEFORMAT </w:instrText>
    </w:r>
    <w:r>
      <w:fldChar w:fldCharType="separate"/>
    </w:r>
    <w:r>
      <w:rPr>
        <w:noProof/>
      </w:rPr>
      <w:t>3</w:t>
    </w:r>
    <w:r>
      <w:fldChar w:fldCharType="end"/>
    </w:r>
  </w:p>
  <w:p w:rsidR="007A3F6D" w:rsidP="009B58B4" w:rsidRDefault="00B30290" w14:paraId="13603491" w14:textId="77777777">
    <w:pPr>
      <w:pStyle w:val="Footer"/>
    </w:pPr>
    <w:r>
      <w:rPr>
        <w:noProof/>
      </w:rPr>
      <mc:AlternateContent>
        <mc:Choice Requires="wps">
          <w:drawing>
            <wp:anchor distT="0" distB="0" distL="114300" distR="114300" simplePos="0" relativeHeight="251687936" behindDoc="1" locked="0" layoutInCell="1" allowOverlap="1" wp14:editId="2BC750D1" wp14:anchorId="0FAE4630">
              <wp:simplePos x="0" y="0"/>
              <wp:positionH relativeFrom="margin">
                <wp:posOffset>-67945</wp:posOffset>
              </wp:positionH>
              <wp:positionV relativeFrom="paragraph">
                <wp:posOffset>-111125</wp:posOffset>
              </wp:positionV>
              <wp:extent cx="2560320" cy="255905"/>
              <wp:effectExtent l="0" t="0" r="11430" b="10795"/>
              <wp:wrapNone/>
              <wp:docPr id="16"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64206D4E" w14:textId="77777777">
                          <w:pPr>
                            <w:pStyle w:val="MacPacTrailer"/>
                          </w:pPr>
                          <w:r>
                            <w:t>DB2/ 40287883.10</w:t>
                          </w:r>
                        </w:p>
                        <w:p w:rsidR="007A3F6D" w:rsidP="009B58B4" w:rsidRDefault="007A3F6D" w14:paraId="4B0E2DBD"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0FAE4630">
              <v:stroke joinstyle="miter"/>
              <v:path gradientshapeok="t" o:connecttype="rect"/>
            </v:shapetype>
            <v:shape id="_x0000_s1039" style="position:absolute;margin-left:-5.35pt;margin-top:-8.75pt;width:201.6pt;height:20.1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swcIUdoBAACZAwAADgAAAAAAAAAAAAAAAAAuAgAAZHJzL2Uyb0RvYy54bWxQSwECLQAUAAYACAAA&#10;ACEADWD7Xt8AAAAKAQAADwAAAAAAAAAAAAAAAAA0BAAAZHJzL2Rvd25yZXYueG1sUEsFBgAAAAAE&#10;AAQA8wAAAEAFAAAAAA==&#10;">
              <v:textbox inset="0,0,0,0">
                <w:txbxContent>
                  <w:p w:rsidR="007A3F6D" w:rsidP="009B58B4" w:rsidRDefault="007A3F6D" w14:paraId="64206D4E" w14:textId="77777777">
                    <w:pPr>
                      <w:pStyle w:val="MacPacTrailer"/>
                    </w:pPr>
                    <w:r>
                      <w:t>DB2/ 40287883.10</w:t>
                    </w:r>
                  </w:p>
                  <w:p w:rsidR="007A3F6D" w:rsidP="009B58B4" w:rsidRDefault="007A3F6D" w14:paraId="4B0E2DBD" w14:textId="77777777">
                    <w:pPr>
                      <w:pStyle w:val="MacPacTrailer"/>
                    </w:pPr>
                  </w:p>
                </w:txbxContent>
              </v:textbox>
              <w10:wrap anchorx="margin"/>
            </v:shape>
          </w:pict>
        </mc:Fallback>
      </mc:AlternateContent>
    </w:r>
  </w:p>
</w:ftr>
</file>

<file path=word/footer20.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EBDF259" w14:textId="77777777">
    <w:pPr>
      <w:pStyle w:val="Footer"/>
    </w:pPr>
    <w:r>
      <w:tab/>
    </w:r>
    <w:r>
      <w:t>G-</w:t>
    </w:r>
    <w:r>
      <w:fldChar w:fldCharType="begin"/>
    </w:r>
    <w:r>
      <w:instrText xml:space="preserve"> PAGE   \* MERGEFORMAT </w:instrText>
    </w:r>
    <w:r>
      <w:fldChar w:fldCharType="separate"/>
    </w:r>
    <w:r>
      <w:rPr>
        <w:noProof/>
      </w:rPr>
      <w:t>1</w:t>
    </w:r>
    <w:r>
      <w:fldChar w:fldCharType="end"/>
    </w:r>
  </w:p>
  <w:p w:rsidR="007A3F6D" w:rsidP="009B58B4" w:rsidRDefault="00B30290" w14:paraId="7806FA40" w14:textId="77777777">
    <w:pPr>
      <w:pStyle w:val="Footer"/>
    </w:pPr>
    <w:r>
      <w:rPr>
        <w:noProof/>
      </w:rPr>
      <mc:AlternateContent>
        <mc:Choice Requires="wps">
          <w:drawing>
            <wp:anchor distT="0" distB="0" distL="114300" distR="114300" simplePos="0" relativeHeight="251689984" behindDoc="0" locked="0" layoutInCell="1" allowOverlap="1" wp14:editId="3C6DD3AA" wp14:anchorId="1874304E">
              <wp:simplePos x="0" y="0"/>
              <wp:positionH relativeFrom="margin">
                <wp:posOffset>-76200</wp:posOffset>
              </wp:positionH>
              <wp:positionV relativeFrom="paragraph">
                <wp:posOffset>-3810</wp:posOffset>
              </wp:positionV>
              <wp:extent cx="2560320" cy="255905"/>
              <wp:effectExtent l="0" t="0" r="11430" b="10795"/>
              <wp:wrapNone/>
              <wp:docPr id="15"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1041B6CB" w14:textId="77777777">
                          <w:pPr>
                            <w:pStyle w:val="MacPacTrailer"/>
                          </w:pPr>
                          <w:r>
                            <w:t>DB2/ 40287883.10</w:t>
                          </w:r>
                        </w:p>
                        <w:p w:rsidR="007A3F6D" w:rsidP="009B58B4" w:rsidRDefault="007A3F6D" w14:paraId="440E4038"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1874304E">
              <v:stroke joinstyle="miter"/>
              <v:path gradientshapeok="t" o:connecttype="rect"/>
            </v:shapetype>
            <v:shape id="_x0000_s1040" style="position:absolute;margin-left:-6pt;margin-top:-.3pt;width:201.6pt;height:20.1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tD8eVCMCAABLBAAADgAAAAAAAAAAAAAAAAAuAgAAZHJzL2Uyb0RvYy54&#10;bWxQSwECLQAUAAYACAAAACEAi1v37N4AAAAIAQAADwAAAAAAAAAAAAAAAAB9BAAAZHJzL2Rvd25y&#10;ZXYueG1sUEsFBgAAAAAEAAQA8wAAAIgFAAAAAA==&#10;">
              <v:textbox inset="0,0,0,0">
                <w:txbxContent>
                  <w:p w:rsidR="007A3F6D" w:rsidP="009B58B4" w:rsidRDefault="007A3F6D" w14:paraId="1041B6CB" w14:textId="77777777">
                    <w:pPr>
                      <w:pStyle w:val="MacPacTrailer"/>
                    </w:pPr>
                    <w:r>
                      <w:t>DB2/ 40287883.10</w:t>
                    </w:r>
                  </w:p>
                  <w:p w:rsidR="007A3F6D" w:rsidP="009B58B4" w:rsidRDefault="007A3F6D" w14:paraId="440E4038" w14:textId="77777777">
                    <w:pPr>
                      <w:pStyle w:val="MacPacTrailer"/>
                    </w:pPr>
                  </w:p>
                </w:txbxContent>
              </v:textbox>
              <w10:wrap anchorx="margin"/>
            </v:shape>
          </w:pict>
        </mc:Fallback>
      </mc:AlternateContent>
    </w:r>
  </w:p>
</w:ftr>
</file>

<file path=word/footer21.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33626000" w14:textId="77777777">
    <w:pPr>
      <w:tabs>
        <w:tab w:val="center" w:pos="4680"/>
        <w:tab w:val="right" w:pos="9360"/>
      </w:tabs>
      <w:spacing w:line="200" w:lineRule="exact"/>
      <w:rPr>
        <w:rStyle w:val="PageNumber"/>
      </w:rPr>
    </w:pPr>
    <w:r>
      <w:rPr>
        <w:rStyle w:val="PageNumber"/>
      </w:rPr>
      <w:tab/>
      <w:t>G-</w:t>
    </w: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p w:rsidR="007A3F6D" w:rsidP="009B58B4" w:rsidRDefault="00B30290" w14:paraId="6009A814" w14:textId="77777777">
    <w:pPr>
      <w:pStyle w:val="Footer"/>
    </w:pPr>
    <w:r>
      <w:rPr>
        <w:noProof/>
      </w:rPr>
      <mc:AlternateContent>
        <mc:Choice Requires="wps">
          <w:drawing>
            <wp:anchor distT="0" distB="0" distL="114300" distR="114300" simplePos="0" relativeHeight="251692032" behindDoc="1" locked="0" layoutInCell="1" allowOverlap="1" wp14:editId="19139768" wp14:anchorId="5C5DE47E">
              <wp:simplePos x="0" y="0"/>
              <wp:positionH relativeFrom="margin">
                <wp:posOffset>-67945</wp:posOffset>
              </wp:positionH>
              <wp:positionV relativeFrom="paragraph">
                <wp:posOffset>-111125</wp:posOffset>
              </wp:positionV>
              <wp:extent cx="2560320" cy="255905"/>
              <wp:effectExtent l="0" t="0" r="11430" b="10795"/>
              <wp:wrapNone/>
              <wp:docPr id="14"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4DBD3F41" w14:textId="77777777">
                          <w:pPr>
                            <w:pStyle w:val="MacPacTrailer"/>
                          </w:pPr>
                          <w:r>
                            <w:t>DB2/ 40287883.10</w:t>
                          </w:r>
                        </w:p>
                        <w:p w:rsidR="007A3F6D" w:rsidP="009B58B4" w:rsidRDefault="007A3F6D" w14:paraId="70307DE5"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5C5DE47E">
              <v:stroke joinstyle="miter"/>
              <v:path gradientshapeok="t" o:connecttype="rect"/>
            </v:shapetype>
            <v:shape id="_x0000_s1041" style="position:absolute;margin-left:-5.35pt;margin-top:-8.75pt;width:201.6pt;height:20.15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WC6Hd9oBAACZAwAADgAAAAAAAAAAAAAAAAAuAgAAZHJzL2Uyb0RvYy54bWxQSwECLQAUAAYACAAA&#10;ACEADWD7Xt8AAAAKAQAADwAAAAAAAAAAAAAAAAA0BAAAZHJzL2Rvd25yZXYueG1sUEsFBgAAAAAE&#10;AAQA8wAAAEAFAAAAAA==&#10;">
              <v:textbox inset="0,0,0,0">
                <w:txbxContent>
                  <w:p w:rsidR="007A3F6D" w:rsidP="009B58B4" w:rsidRDefault="007A3F6D" w14:paraId="4DBD3F41" w14:textId="77777777">
                    <w:pPr>
                      <w:pStyle w:val="MacPacTrailer"/>
                    </w:pPr>
                    <w:r>
                      <w:t>DB2/ 40287883.10</w:t>
                    </w:r>
                  </w:p>
                  <w:p w:rsidR="007A3F6D" w:rsidP="009B58B4" w:rsidRDefault="007A3F6D" w14:paraId="70307DE5" w14:textId="77777777">
                    <w:pPr>
                      <w:pStyle w:val="MacPacTrailer"/>
                    </w:pPr>
                  </w:p>
                </w:txbxContent>
              </v:textbox>
              <w10:wrap anchorx="margin"/>
            </v:shape>
          </w:pict>
        </mc:Fallback>
      </mc:AlternateContent>
    </w:r>
  </w:p>
</w:ftr>
</file>

<file path=word/footer22.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2EE42999" w14:textId="77777777">
    <w:pPr>
      <w:pStyle w:val="Footer"/>
    </w:pPr>
    <w:r>
      <w:tab/>
    </w:r>
    <w:r>
      <w:t>G-</w:t>
    </w:r>
    <w:r>
      <w:fldChar w:fldCharType="begin"/>
    </w:r>
    <w:r>
      <w:instrText xml:space="preserve"> PAGE   \* MERGEFORMAT </w:instrText>
    </w:r>
    <w:r>
      <w:fldChar w:fldCharType="separate"/>
    </w:r>
    <w:r>
      <w:rPr>
        <w:noProof/>
      </w:rPr>
      <w:t>4</w:t>
    </w:r>
    <w:r>
      <w:fldChar w:fldCharType="end"/>
    </w:r>
  </w:p>
  <w:p w:rsidR="007A3F6D" w:rsidP="009B58B4" w:rsidRDefault="00B30290" w14:paraId="021C94BF" w14:textId="77777777">
    <w:pPr>
      <w:pStyle w:val="Footer"/>
    </w:pPr>
    <w:r>
      <w:rPr>
        <w:noProof/>
      </w:rPr>
      <mc:AlternateContent>
        <mc:Choice Requires="wps">
          <w:drawing>
            <wp:anchor distT="0" distB="0" distL="114300" distR="114300" simplePos="0" relativeHeight="251694080" behindDoc="0" locked="0" layoutInCell="1" allowOverlap="1" wp14:editId="7AF53CC5" wp14:anchorId="1FA43E42">
              <wp:simplePos x="0" y="0"/>
              <wp:positionH relativeFrom="margin">
                <wp:posOffset>-76200</wp:posOffset>
              </wp:positionH>
              <wp:positionV relativeFrom="paragraph">
                <wp:posOffset>-3810</wp:posOffset>
              </wp:positionV>
              <wp:extent cx="2560320" cy="255905"/>
              <wp:effectExtent l="0" t="0" r="11430" b="10795"/>
              <wp:wrapNone/>
              <wp:docPr id="13" name="Text Box 1"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0320" cy="255905"/>
                      </a:xfrm>
                      <a:prstGeom prst="rect">
                        <a:avLst/>
                      </a:prstGeom>
                      <a:noFill/>
                      <a:ln w="6350">
                        <a:noFill/>
                      </a:ln>
                      <a:effectLst/>
                    </wps:spPr>
                    <wps:txbx>
                      <w:txbxContent>
                        <w:p w:rsidR="007A3F6D" w:rsidP="009B58B4" w:rsidRDefault="007A3F6D" w14:paraId="277F5CED" w14:textId="77777777">
                          <w:pPr>
                            <w:pStyle w:val="MacPacTrailer"/>
                          </w:pPr>
                          <w:r>
                            <w:t>DB2/ 40287883.10</w:t>
                          </w:r>
                        </w:p>
                        <w:p w:rsidR="007A3F6D" w:rsidP="009B58B4" w:rsidRDefault="007A3F6D" w14:paraId="5C1CA931" w14:textId="77777777">
                          <w:pPr>
                            <w:pStyle w:val="MacPacTrail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1FA43E42">
              <v:stroke joinstyle="miter"/>
              <v:path gradientshapeok="t" o:connecttype="rect"/>
            </v:shapetype>
            <v:shape id="_x0000_s1042" style="position:absolute;margin-left:-6pt;margin-top:-.3pt;width:201.6pt;height:20.1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lt=""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">
              <v:textbox inset="0,0,0,0">
                <w:txbxContent>
                  <w:p w:rsidR="007A3F6D" w:rsidP="009B58B4" w:rsidRDefault="007A3F6D" w14:paraId="277F5CED" w14:textId="77777777">
                    <w:pPr>
                      <w:pStyle w:val="MacPacTrailer"/>
                    </w:pPr>
                    <w:r>
                      <w:t>DB2/ 40287883.10</w:t>
                    </w:r>
                  </w:p>
                  <w:p w:rsidR="007A3F6D" w:rsidP="009B58B4" w:rsidRDefault="007A3F6D" w14:paraId="5C1CA931" w14:textId="77777777">
                    <w:pPr>
                      <w:pStyle w:val="MacPacTrailer"/>
                    </w:pPr>
                  </w:p>
                </w:txbxContent>
              </v:textbox>
              <w10:wrap anchorx="margin"/>
            </v:shape>
          </w:pict>
        </mc:Fallback>
      </mc:AlternateContent>
    </w:r>
  </w:p>
</w:ftr>
</file>

<file path=word/footer23.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B4CF439" w14:textId="77777777">
    <w:pPr>
      <w:pStyle w:val="Footer"/>
    </w:pPr>
    <w:r>
      <w:tab/>
    </w:r>
    <w:r>
      <w:t>H-</w:t>
    </w:r>
    <w:r>
      <w:fldChar w:fldCharType="begin"/>
    </w:r>
    <w:r>
      <w:instrText xml:space="preserve"> PAGE   \* MERGEFORMAT </w:instrText>
    </w:r>
    <w:r>
      <w:fldChar w:fldCharType="separate"/>
    </w:r>
    <w:r>
      <w:rPr>
        <w:noProof/>
      </w:rPr>
      <w:t>3</w:t>
    </w:r>
    <w:r>
      <w:fldChar w:fldCharType="end"/>
    </w:r>
  </w:p>
  <w:p w:rsidR="007A3F6D" w:rsidP="009B58B4" w:rsidRDefault="00B30290" w14:paraId="624210A3" w14:textId="77777777">
    <w:pPr>
      <w:pStyle w:val="Footer"/>
    </w:pPr>
    <w:r>
      <w:rPr>
        <w:noProof/>
      </w:rPr>
      <mc:AlternateContent>
        <mc:Choice Requires="wps">
          <w:drawing>
            <wp:anchor distT="0" distB="0" distL="114300" distR="114300" simplePos="0" relativeHeight="251696128" behindDoc="1" locked="0" layoutInCell="1" allowOverlap="1" wp14:editId="238C3740" wp14:anchorId="2D2946C1">
              <wp:simplePos x="0" y="0"/>
              <wp:positionH relativeFrom="margin">
                <wp:posOffset>-67945</wp:posOffset>
              </wp:positionH>
              <wp:positionV relativeFrom="paragraph">
                <wp:posOffset>-111125</wp:posOffset>
              </wp:positionV>
              <wp:extent cx="2560320" cy="255905"/>
              <wp:effectExtent l="0" t="0" r="11430" b="10795"/>
              <wp:wrapNone/>
              <wp:docPr id="12"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05628818" w14:textId="77777777">
                          <w:pPr>
                            <w:pStyle w:val="MacPacTrailer"/>
                          </w:pPr>
                          <w:r>
                            <w:t>DB2/ 40287883.10</w:t>
                          </w:r>
                        </w:p>
                        <w:p w:rsidR="007A3F6D" w:rsidP="009B58B4" w:rsidRDefault="007A3F6D" w14:paraId="300BC4AE"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2D2946C1">
              <v:stroke joinstyle="miter"/>
              <v:path gradientshapeok="t" o:connecttype="rect"/>
            </v:shapetype>
            <v:shape id="_x0000_s1043" style="position:absolute;margin-left:-5.35pt;margin-top:-8.75pt;width:201.6pt;height:20.15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">
              <v:textbox inset="0,0,0,0">
                <w:txbxContent>
                  <w:p w:rsidR="007A3F6D" w:rsidP="009B58B4" w:rsidRDefault="007A3F6D" w14:paraId="05628818" w14:textId="77777777">
                    <w:pPr>
                      <w:pStyle w:val="MacPacTrailer"/>
                    </w:pPr>
                    <w:r>
                      <w:t>DB2/ 40287883.10</w:t>
                    </w:r>
                  </w:p>
                  <w:p w:rsidR="007A3F6D" w:rsidP="009B58B4" w:rsidRDefault="007A3F6D" w14:paraId="300BC4AE" w14:textId="77777777">
                    <w:pPr>
                      <w:pStyle w:val="MacPacTrailer"/>
                    </w:pPr>
                  </w:p>
                </w:txbxContent>
              </v:textbox>
              <w10:wrap anchorx="margin"/>
            </v:shape>
          </w:pict>
        </mc:Fallback>
      </mc:AlternateContent>
    </w:r>
  </w:p>
</w:ftr>
</file>

<file path=word/footer24.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5E254AFC" w14:textId="77777777">
    <w:pPr>
      <w:pStyle w:val="Footer"/>
    </w:pPr>
    <w:r>
      <w:tab/>
    </w:r>
    <w:r>
      <w:t>I-</w:t>
    </w:r>
    <w:r>
      <w:fldChar w:fldCharType="begin"/>
    </w:r>
    <w:r>
      <w:instrText xml:space="preserve"> PAGE   \* MERGEFORMAT </w:instrText>
    </w:r>
    <w:r>
      <w:fldChar w:fldCharType="separate"/>
    </w:r>
    <w:r>
      <w:rPr>
        <w:noProof/>
      </w:rPr>
      <w:t>2</w:t>
    </w:r>
    <w:r>
      <w:fldChar w:fldCharType="end"/>
    </w:r>
  </w:p>
  <w:p w:rsidR="007A3F6D" w:rsidP="009B58B4" w:rsidRDefault="00B30290" w14:paraId="57BA9C3B" w14:textId="77777777">
    <w:pPr>
      <w:pStyle w:val="Footer"/>
    </w:pPr>
    <w:r>
      <w:rPr>
        <w:noProof/>
      </w:rPr>
      <mc:AlternateContent>
        <mc:Choice Requires="wps">
          <w:drawing>
            <wp:anchor distT="0" distB="0" distL="114300" distR="114300" simplePos="0" relativeHeight="251698176" behindDoc="1" locked="0" layoutInCell="1" allowOverlap="1" wp14:editId="3C6AAEA4" wp14:anchorId="5530639F">
              <wp:simplePos x="0" y="0"/>
              <wp:positionH relativeFrom="margin">
                <wp:posOffset>-67945</wp:posOffset>
              </wp:positionH>
              <wp:positionV relativeFrom="paragraph">
                <wp:posOffset>-111125</wp:posOffset>
              </wp:positionV>
              <wp:extent cx="2560320" cy="255905"/>
              <wp:effectExtent l="0" t="0" r="11430" b="10795"/>
              <wp:wrapNone/>
              <wp:docPr id="11"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62DEF213" w14:textId="77777777">
                          <w:pPr>
                            <w:pStyle w:val="MacPacTrailer"/>
                          </w:pPr>
                          <w:r>
                            <w:t>DB2/ 40287883.10</w:t>
                          </w:r>
                        </w:p>
                        <w:p w:rsidR="007A3F6D" w:rsidP="009B58B4" w:rsidRDefault="007A3F6D" w14:paraId="1DF9BD30"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5530639F">
              <v:stroke joinstyle="miter"/>
              <v:path gradientshapeok="t" o:connecttype="rect"/>
            </v:shapetype>
            <v:shape id="_x0000_s1044" style="position:absolute;margin-left:-5.35pt;margin-top:-8.75pt;width:201.6pt;height:20.15pt;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PY8zb9oBAACZAwAADgAAAAAAAAAAAAAAAAAuAgAAZHJzL2Uyb0RvYy54bWxQSwECLQAUAAYACAAA&#10;ACEADWD7Xt8AAAAKAQAADwAAAAAAAAAAAAAAAAA0BAAAZHJzL2Rvd25yZXYueG1sUEsFBgAAAAAE&#10;AAQA8wAAAEAFAAAAAA==&#10;">
              <v:textbox inset="0,0,0,0">
                <w:txbxContent>
                  <w:p w:rsidR="007A3F6D" w:rsidP="009B58B4" w:rsidRDefault="007A3F6D" w14:paraId="62DEF213" w14:textId="77777777">
                    <w:pPr>
                      <w:pStyle w:val="MacPacTrailer"/>
                    </w:pPr>
                    <w:r>
                      <w:t>DB2/ 40287883.10</w:t>
                    </w:r>
                  </w:p>
                  <w:p w:rsidR="007A3F6D" w:rsidP="009B58B4" w:rsidRDefault="007A3F6D" w14:paraId="1DF9BD30" w14:textId="77777777">
                    <w:pPr>
                      <w:pStyle w:val="MacPacTrailer"/>
                    </w:pPr>
                  </w:p>
                </w:txbxContent>
              </v:textbox>
              <w10:wrap anchorx="margin"/>
            </v:shape>
          </w:pict>
        </mc:Fallback>
      </mc:AlternateContent>
    </w:r>
  </w:p>
</w:ftr>
</file>

<file path=word/footer25.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3910E883" w14:textId="77777777">
    <w:pPr>
      <w:pStyle w:val="Footer"/>
    </w:pPr>
    <w:r>
      <w:tab/>
    </w:r>
    <w:r>
      <w:t>J-</w:t>
    </w:r>
    <w:r>
      <w:fldChar w:fldCharType="begin"/>
    </w:r>
    <w:r>
      <w:instrText xml:space="preserve"> PAGE   \* MERGEFORMAT </w:instrText>
    </w:r>
    <w:r>
      <w:fldChar w:fldCharType="separate"/>
    </w:r>
    <w:r>
      <w:rPr>
        <w:noProof/>
      </w:rPr>
      <w:t>1</w:t>
    </w:r>
    <w:r>
      <w:fldChar w:fldCharType="end"/>
    </w:r>
  </w:p>
  <w:p w:rsidR="007A3F6D" w:rsidP="009B58B4" w:rsidRDefault="00B30290" w14:paraId="58B4AE99" w14:textId="77777777">
    <w:pPr>
      <w:pStyle w:val="Footer"/>
    </w:pPr>
    <w:r>
      <w:rPr>
        <w:noProof/>
      </w:rPr>
      <mc:AlternateContent>
        <mc:Choice Requires="wps">
          <w:drawing>
            <wp:anchor distT="0" distB="0" distL="114300" distR="114300" simplePos="0" relativeHeight="251700224" behindDoc="1" locked="0" layoutInCell="1" allowOverlap="1" wp14:editId="0AD6E924" wp14:anchorId="63BAA849">
              <wp:simplePos x="0" y="0"/>
              <wp:positionH relativeFrom="margin">
                <wp:posOffset>-67945</wp:posOffset>
              </wp:positionH>
              <wp:positionV relativeFrom="paragraph">
                <wp:posOffset>-111125</wp:posOffset>
              </wp:positionV>
              <wp:extent cx="2560320" cy="255905"/>
              <wp:effectExtent l="0" t="0" r="11430" b="10795"/>
              <wp:wrapNone/>
              <wp:docPr id="10"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5463FEB6" w14:textId="77777777">
                          <w:pPr>
                            <w:pStyle w:val="MacPacTrailer"/>
                          </w:pPr>
                          <w:r>
                            <w:t>DB2/ 40287883.10</w:t>
                          </w:r>
                        </w:p>
                        <w:p w:rsidR="007A3F6D" w:rsidP="009B58B4" w:rsidRDefault="007A3F6D" w14:paraId="1B2F631D"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63BAA849">
              <v:stroke joinstyle="miter"/>
              <v:path gradientshapeok="t" o:connecttype="rect"/>
            </v:shapetype>
            <v:shape id="_x0000_s1045" style="position:absolute;margin-left:-5.35pt;margin-top:-8.75pt;width:201.6pt;height:20.15pt;z-index:-25161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jn2ZOtoBAACZAwAADgAAAAAAAAAAAAAAAAAuAgAAZHJzL2Uyb0RvYy54bWxQSwECLQAUAAYACAAA&#10;ACEADWD7Xt8AAAAKAQAADwAAAAAAAAAAAAAAAAA0BAAAZHJzL2Rvd25yZXYueG1sUEsFBgAAAAAE&#10;AAQA8wAAAEAFAAAAAA==&#10;">
              <v:textbox inset="0,0,0,0">
                <w:txbxContent>
                  <w:p w:rsidR="007A3F6D" w:rsidP="009B58B4" w:rsidRDefault="007A3F6D" w14:paraId="5463FEB6" w14:textId="77777777">
                    <w:pPr>
                      <w:pStyle w:val="MacPacTrailer"/>
                    </w:pPr>
                    <w:r>
                      <w:t>DB2/ 40287883.10</w:t>
                    </w:r>
                  </w:p>
                  <w:p w:rsidR="007A3F6D" w:rsidP="009B58B4" w:rsidRDefault="007A3F6D" w14:paraId="1B2F631D" w14:textId="77777777">
                    <w:pPr>
                      <w:pStyle w:val="MacPacTrailer"/>
                    </w:pPr>
                  </w:p>
                </w:txbxContent>
              </v:textbox>
              <w10:wrap anchorx="margin"/>
            </v:shape>
          </w:pict>
        </mc:Fallback>
      </mc:AlternateContent>
    </w:r>
  </w:p>
</w:ftr>
</file>

<file path=word/footer26.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24A536A3" w14:textId="77777777">
    <w:pPr>
      <w:pStyle w:val="Footer"/>
    </w:pPr>
    <w:r>
      <w:tab/>
    </w:r>
    <w:r>
      <w:t>K-</w:t>
    </w:r>
    <w:r>
      <w:fldChar w:fldCharType="begin"/>
    </w:r>
    <w:r>
      <w:instrText xml:space="preserve"> PAGE   \* MERGEFORMAT </w:instrText>
    </w:r>
    <w:r>
      <w:fldChar w:fldCharType="separate"/>
    </w:r>
    <w:r>
      <w:rPr>
        <w:noProof/>
      </w:rPr>
      <w:t>1</w:t>
    </w:r>
    <w:r>
      <w:fldChar w:fldCharType="end"/>
    </w:r>
  </w:p>
  <w:p w:rsidR="007A3F6D" w:rsidP="009B58B4" w:rsidRDefault="00B30290" w14:paraId="712DE460" w14:textId="77777777">
    <w:pPr>
      <w:pStyle w:val="Footer"/>
    </w:pPr>
    <w:r>
      <w:rPr>
        <w:noProof/>
      </w:rPr>
      <mc:AlternateContent>
        <mc:Choice Requires="wps">
          <w:drawing>
            <wp:anchor distT="0" distB="0" distL="114300" distR="114300" simplePos="0" relativeHeight="251702272" behindDoc="1" locked="0" layoutInCell="1" allowOverlap="1" wp14:editId="240F61DF" wp14:anchorId="71BABDC7">
              <wp:simplePos x="0" y="0"/>
              <wp:positionH relativeFrom="margin">
                <wp:posOffset>-67945</wp:posOffset>
              </wp:positionH>
              <wp:positionV relativeFrom="paragraph">
                <wp:posOffset>-111125</wp:posOffset>
              </wp:positionV>
              <wp:extent cx="2560320" cy="255905"/>
              <wp:effectExtent l="0" t="0" r="11430" b="10795"/>
              <wp:wrapNone/>
              <wp:docPr id="9"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28A8C365" w14:textId="77777777">
                          <w:pPr>
                            <w:pStyle w:val="MacPacTrailer"/>
                          </w:pPr>
                          <w:r>
                            <w:t>DB2/ 40287883.10</w:t>
                          </w:r>
                        </w:p>
                        <w:p w:rsidR="007A3F6D" w:rsidP="009B58B4" w:rsidRDefault="007A3F6D" w14:paraId="6D5CB9AD"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1BABDC7">
              <v:stroke joinstyle="miter"/>
              <v:path gradientshapeok="t" o:connecttype="rect"/>
            </v:shapetype>
            <v:shape id="_x0000_s1046" style="position:absolute;margin-left:-5.35pt;margin-top:-8.75pt;width:201.6pt;height:20.1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KsmwWdoBAACZAwAADgAAAAAAAAAAAAAAAAAuAgAAZHJzL2Uyb0RvYy54bWxQSwECLQAUAAYACAAA&#10;ACEADWD7Xt8AAAAKAQAADwAAAAAAAAAAAAAAAAA0BAAAZHJzL2Rvd25yZXYueG1sUEsFBgAAAAAE&#10;AAQA8wAAAEAFAAAAAA==&#10;">
              <v:textbox inset="0,0,0,0">
                <w:txbxContent>
                  <w:p w:rsidR="007A3F6D" w:rsidP="009B58B4" w:rsidRDefault="007A3F6D" w14:paraId="28A8C365" w14:textId="77777777">
                    <w:pPr>
                      <w:pStyle w:val="MacPacTrailer"/>
                    </w:pPr>
                    <w:r>
                      <w:t>DB2/ 40287883.10</w:t>
                    </w:r>
                  </w:p>
                  <w:p w:rsidR="007A3F6D" w:rsidP="009B58B4" w:rsidRDefault="007A3F6D" w14:paraId="6D5CB9AD" w14:textId="77777777">
                    <w:pPr>
                      <w:pStyle w:val="MacPacTrailer"/>
                    </w:pPr>
                  </w:p>
                </w:txbxContent>
              </v:textbox>
              <w10:wrap anchorx="margin"/>
            </v:shape>
          </w:pict>
        </mc:Fallback>
      </mc:AlternateContent>
    </w:r>
  </w:p>
</w:ftr>
</file>

<file path=word/footer27.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5FF101EC" w14:textId="77777777">
    <w:pPr>
      <w:pStyle w:val="Footer"/>
      <w:rPr>
        <w:lang w:val="en-US"/>
      </w:rPr>
    </w:pPr>
    <w:r>
      <w:tab/>
    </w:r>
    <w:r>
      <w:rPr>
        <w:lang w:val="en-US"/>
      </w:rPr>
      <w:t>L</w:t>
    </w:r>
    <w:r>
      <w:t>-</w:t>
    </w:r>
    <w:r>
      <w:rPr>
        <w:lang w:val="en-US"/>
      </w:rPr>
      <w:t>1</w:t>
    </w:r>
  </w:p>
  <w:p w:rsidR="007A3F6D" w:rsidP="009B58B4" w:rsidRDefault="00B30290" w14:paraId="3BE3B2EC" w14:textId="77777777">
    <w:pPr>
      <w:pStyle w:val="Footer"/>
    </w:pPr>
    <w:r>
      <w:rPr>
        <w:noProof/>
      </w:rPr>
      <mc:AlternateContent>
        <mc:Choice Requires="wps">
          <w:drawing>
            <wp:anchor distT="0" distB="0" distL="114300" distR="114300" simplePos="0" relativeHeight="251704320" behindDoc="1" locked="0" layoutInCell="1" allowOverlap="1" wp14:editId="60DBAFDA" wp14:anchorId="7D2A751C">
              <wp:simplePos x="0" y="0"/>
              <wp:positionH relativeFrom="margin">
                <wp:posOffset>-67945</wp:posOffset>
              </wp:positionH>
              <wp:positionV relativeFrom="paragraph">
                <wp:posOffset>-111125</wp:posOffset>
              </wp:positionV>
              <wp:extent cx="2560320" cy="255905"/>
              <wp:effectExtent l="0" t="0" r="11430" b="10795"/>
              <wp:wrapNone/>
              <wp:docPr id="8"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19755674" w14:textId="77777777">
                          <w:pPr>
                            <w:pStyle w:val="MacPacTrailer"/>
                          </w:pPr>
                          <w:r>
                            <w:t>DB2/ 40287883.10</w:t>
                          </w:r>
                        </w:p>
                        <w:p w:rsidR="007A3F6D" w:rsidP="009B58B4" w:rsidRDefault="007A3F6D" w14:paraId="4582672C"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D2A751C">
              <v:stroke joinstyle="miter"/>
              <v:path gradientshapeok="t" o:connecttype="rect"/>
            </v:shapetype>
            <v:shape id="_x0000_s1047" style="position:absolute;margin-left:-5.35pt;margin-top:-8.75pt;width:201.6pt;height:20.15pt;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mTsaDNoBAACZAwAADgAAAAAAAAAAAAAAAAAuAgAAZHJzL2Uyb0RvYy54bWxQSwECLQAUAAYACAAA&#10;ACEADWD7Xt8AAAAKAQAADwAAAAAAAAAAAAAAAAA0BAAAZHJzL2Rvd25yZXYueG1sUEsFBgAAAAAE&#10;AAQA8wAAAEAFAAAAAA==&#10;">
              <v:textbox inset="0,0,0,0">
                <w:txbxContent>
                  <w:p w:rsidR="007A3F6D" w:rsidP="009B58B4" w:rsidRDefault="007A3F6D" w14:paraId="19755674" w14:textId="77777777">
                    <w:pPr>
                      <w:pStyle w:val="MacPacTrailer"/>
                    </w:pPr>
                    <w:r>
                      <w:t>DB2/ 40287883.10</w:t>
                    </w:r>
                  </w:p>
                  <w:p w:rsidR="007A3F6D" w:rsidP="009B58B4" w:rsidRDefault="007A3F6D" w14:paraId="4582672C" w14:textId="77777777">
                    <w:pPr>
                      <w:pStyle w:val="MacPacTrailer"/>
                    </w:pPr>
                  </w:p>
                </w:txbxContent>
              </v:textbox>
              <w10:wrap anchorx="margin"/>
            </v:shape>
          </w:pict>
        </mc:Fallback>
      </mc:AlternateContent>
    </w:r>
  </w:p>
</w:ftr>
</file>

<file path=word/footer28.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P="00D96024" w:rsidRDefault="00D96024" w14:paraId="0E474104" w14:textId="30CB30C9">
    <w:pPr>
      <w:pStyle w:val="Footer"/>
      <w:tabs>
        <w:tab w:val="left" w:pos="1080"/>
      </w:tabs>
      <w:rPr>
        <w:noProof/>
      </w:rPr>
    </w:pPr>
    <w:r>
      <w:rPr>
        <w:lang w:val="en-US"/>
      </w:rPr>
      <w:tab/>
    </w:r>
    <w:r>
      <w:rPr>
        <w:lang w:val="en-US"/>
      </w:rPr>
      <w:tab/>
    </w:r>
    <w:r w:rsidR="007A3F6D">
      <w:rPr>
        <w:lang w:val="en-US"/>
      </w:rPr>
      <w:t>M-</w:t>
    </w:r>
    <w:sdt>
      <w:sdtPr>
        <w:id w:val="1776443631"/>
        <w:docPartObj>
          <w:docPartGallery w:val="Page Numbers (Bottom of Page)"/>
          <w:docPartUnique/>
        </w:docPartObj>
      </w:sdtPr>
      <w:sdtEndPr>
        <w:rPr>
          <w:noProof/>
        </w:rPr>
      </w:sdtEndPr>
      <w:sdtContent>
        <w:r w:rsidR="007A3F6D">
          <w:fldChar w:fldCharType="begin"/>
        </w:r>
        <w:r w:rsidR="007A3F6D">
          <w:instrText xml:space="preserve"> PAGE   \* MERGEFORMAT </w:instrText>
        </w:r>
        <w:r w:rsidR="007A3F6D">
          <w:fldChar w:fldCharType="separate"/>
        </w:r>
        <w:r w:rsidR="007A3F6D">
          <w:rPr>
            <w:noProof/>
          </w:rPr>
          <w:t>1</w:t>
        </w:r>
        <w:r w:rsidR="007A3F6D">
          <w:rPr>
            <w:noProof/>
          </w:rPr>
          <w:fldChar w:fldCharType="end"/>
        </w:r>
      </w:sdtContent>
    </w:sdt>
  </w:p>
  <w:p w:rsidR="007A3F6D" w:rsidP="009B58B4" w:rsidRDefault="00B30290" w14:paraId="5E95DC97" w14:textId="77777777">
    <w:pPr>
      <w:pStyle w:val="Footer"/>
    </w:pPr>
    <w:r>
      <w:rPr>
        <w:noProof/>
      </w:rPr>
      <mc:AlternateContent>
        <mc:Choice Requires="wps">
          <w:drawing>
            <wp:anchor distT="0" distB="0" distL="114300" distR="114300" simplePos="0" relativeHeight="251706368" behindDoc="1" locked="0" layoutInCell="1" allowOverlap="1" wp14:editId="0B74D264" wp14:anchorId="66F621A0">
              <wp:simplePos x="0" y="0"/>
              <wp:positionH relativeFrom="margin">
                <wp:posOffset>-67945</wp:posOffset>
              </wp:positionH>
              <wp:positionV relativeFrom="paragraph">
                <wp:posOffset>-111125</wp:posOffset>
              </wp:positionV>
              <wp:extent cx="2560320" cy="255905"/>
              <wp:effectExtent l="0" t="0" r="11430" b="10795"/>
              <wp:wrapNone/>
              <wp:docPr id="7"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078FCF65" w14:textId="77777777">
                          <w:pPr>
                            <w:pStyle w:val="MacPacTrailer"/>
                          </w:pPr>
                          <w:r>
                            <w:t>DB2/ 40287883.10</w:t>
                          </w:r>
                        </w:p>
                        <w:p w:rsidR="007A3F6D" w:rsidP="009B58B4" w:rsidRDefault="007A3F6D" w14:paraId="3314129C"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66F621A0">
              <v:stroke joinstyle="miter"/>
              <v:path gradientshapeok="t" o:connecttype="rect"/>
            </v:shapetype>
            <v:shape id="_x0000_s1048" style="position:absolute;margin-left:-5.35pt;margin-top:-8.75pt;width:201.6pt;height:20.1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TCzl8toBAACZAwAADgAAAAAAAAAAAAAAAAAuAgAAZHJzL2Uyb0RvYy54bWxQSwECLQAUAAYACAAA&#10;ACEADWD7Xt8AAAAKAQAADwAAAAAAAAAAAAAAAAA0BAAAZHJzL2Rvd25yZXYueG1sUEsFBgAAAAAE&#10;AAQA8wAAAEAFAAAAAA==&#10;">
              <v:textbox inset="0,0,0,0">
                <w:txbxContent>
                  <w:p w:rsidR="007A3F6D" w:rsidP="009B58B4" w:rsidRDefault="007A3F6D" w14:paraId="078FCF65" w14:textId="77777777">
                    <w:pPr>
                      <w:pStyle w:val="MacPacTrailer"/>
                    </w:pPr>
                    <w:r>
                      <w:t>DB2/ 40287883.10</w:t>
                    </w:r>
                  </w:p>
                  <w:p w:rsidR="007A3F6D" w:rsidP="009B58B4" w:rsidRDefault="007A3F6D" w14:paraId="3314129C" w14:textId="77777777">
                    <w:pPr>
                      <w:pStyle w:val="MacPacTrailer"/>
                    </w:pPr>
                  </w:p>
                </w:txbxContent>
              </v:textbox>
              <w10:wrap anchorx="margin"/>
            </v:shape>
          </w:pict>
        </mc:Fallback>
      </mc:AlternateContent>
    </w:r>
  </w:p>
</w:ftr>
</file>

<file path=word/footer29.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8DA4E34" w14:textId="77777777">
    <w:pPr>
      <w:pStyle w:val="Footer"/>
      <w:jc w:val="center"/>
      <w:rPr>
        <w:noProof/>
      </w:rPr>
    </w:pPr>
    <w:r>
      <w:rPr>
        <w:lang w:val="en-US"/>
      </w:rPr>
      <w:t>M-1-</w:t>
    </w:r>
    <w:sdt>
      <w:sdtPr>
        <w:id w:val="-68174096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rsidR="007A3F6D" w:rsidP="009B58B4" w:rsidRDefault="00B30290" w14:paraId="79F6F927" w14:textId="77777777">
    <w:pPr>
      <w:pStyle w:val="Footer"/>
    </w:pPr>
    <w:r>
      <w:rPr>
        <w:noProof/>
      </w:rPr>
      <mc:AlternateContent>
        <mc:Choice Requires="wps">
          <w:drawing>
            <wp:anchor distT="0" distB="0" distL="114300" distR="114300" simplePos="0" relativeHeight="251708416" behindDoc="1" locked="0" layoutInCell="1" allowOverlap="1" wp14:editId="7D55D5BA" wp14:anchorId="1BB802F3">
              <wp:simplePos x="0" y="0"/>
              <wp:positionH relativeFrom="margin">
                <wp:posOffset>-67945</wp:posOffset>
              </wp:positionH>
              <wp:positionV relativeFrom="paragraph">
                <wp:posOffset>-111125</wp:posOffset>
              </wp:positionV>
              <wp:extent cx="2560320" cy="255905"/>
              <wp:effectExtent l="0" t="0" r="11430" b="10795"/>
              <wp:wrapNone/>
              <wp:docPr id="6"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30119CDC" w14:textId="77777777">
                          <w:pPr>
                            <w:pStyle w:val="MacPacTrailer"/>
                          </w:pPr>
                          <w:r>
                            <w:t>DB2/ 40287883.10</w:t>
                          </w:r>
                        </w:p>
                        <w:p w:rsidR="007A3F6D" w:rsidP="009B58B4" w:rsidRDefault="007A3F6D" w14:paraId="2EBB7AFD"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1BB802F3">
              <v:stroke joinstyle="miter"/>
              <v:path gradientshapeok="t" o:connecttype="rect"/>
            </v:shapetype>
            <v:shape id="_x0000_s1049" style="position:absolute;margin-left:-5.35pt;margin-top:-8.75pt;width:201.6pt;height:20.15pt;z-index:-251608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95Pp9oBAACZAwAADgAAAAAAAAAAAAAAAAAuAgAAZHJzL2Uyb0RvYy54bWxQSwECLQAUAAYACAAA&#10;ACEADWD7Xt8AAAAKAQAADwAAAAAAAAAAAAAAAAA0BAAAZHJzL2Rvd25yZXYueG1sUEsFBgAAAAAE&#10;AAQA8wAAAEAFAAAAAA==&#10;">
              <v:textbox inset="0,0,0,0">
                <w:txbxContent>
                  <w:p w:rsidR="007A3F6D" w:rsidP="009B58B4" w:rsidRDefault="007A3F6D" w14:paraId="30119CDC" w14:textId="77777777">
                    <w:pPr>
                      <w:pStyle w:val="MacPacTrailer"/>
                    </w:pPr>
                    <w:r>
                      <w:t>DB2/ 40287883.10</w:t>
                    </w:r>
                  </w:p>
                  <w:p w:rsidR="007A3F6D" w:rsidP="009B58B4" w:rsidRDefault="007A3F6D" w14:paraId="2EBB7AFD" w14:textId="77777777">
                    <w:pPr>
                      <w:pStyle w:val="MacPacTrailer"/>
                    </w:pPr>
                  </w:p>
                </w:txbxContent>
              </v:textbox>
              <w10:wrap anchorx="margin"/>
            </v:shape>
          </w:pict>
        </mc:Fallback>
      </mc:AlternateContent>
    </w:r>
  </w:p>
</w:ftr>
</file>

<file path=word/footer30.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C99C912" w14:textId="77777777">
    <w:pPr>
      <w:pStyle w:val="Footer"/>
      <w:jc w:val="center"/>
      <w:rPr>
        <w:noProof/>
      </w:rPr>
    </w:pPr>
    <w:r>
      <w:rPr>
        <w:lang w:val="en-US"/>
      </w:rPr>
      <w:t>N-</w:t>
    </w:r>
    <w:sdt>
      <w:sdtPr>
        <w:id w:val="1019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p>
  <w:p w:rsidR="007A3F6D" w:rsidP="009B58B4" w:rsidRDefault="00B30290" w14:paraId="52C384DD" w14:textId="77777777">
    <w:pPr>
      <w:pStyle w:val="Footer"/>
    </w:pPr>
    <w:r>
      <w:rPr>
        <w:noProof/>
      </w:rPr>
      <mc:AlternateContent>
        <mc:Choice Requires="wps">
          <w:drawing>
            <wp:anchor distT="0" distB="0" distL="114300" distR="114300" simplePos="0" relativeHeight="251710464" behindDoc="1" locked="0" layoutInCell="1" allowOverlap="1" wp14:editId="3B164570" wp14:anchorId="60F53C46">
              <wp:simplePos x="0" y="0"/>
              <wp:positionH relativeFrom="margin">
                <wp:posOffset>-67945</wp:posOffset>
              </wp:positionH>
              <wp:positionV relativeFrom="paragraph">
                <wp:posOffset>-111125</wp:posOffset>
              </wp:positionV>
              <wp:extent cx="2560320" cy="255905"/>
              <wp:effectExtent l="0" t="0" r="11430" b="10795"/>
              <wp:wrapNone/>
              <wp:docPr id="5"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2632F407" w14:textId="77777777">
                          <w:pPr>
                            <w:pStyle w:val="MacPacTrailer"/>
                          </w:pPr>
                          <w:r>
                            <w:t>DB2/ 40287883.10</w:t>
                          </w:r>
                        </w:p>
                        <w:p w:rsidR="007A3F6D" w:rsidP="009B58B4" w:rsidRDefault="007A3F6D" w14:paraId="0BC870E9"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60F53C46">
              <v:stroke joinstyle="miter"/>
              <v:path gradientshapeok="t" o:connecttype="rect"/>
            </v:shapetype>
            <v:shape id="_x0000_s1050" style="position:absolute;margin-left:-5.35pt;margin-top:-8.75pt;width:201.6pt;height:20.15pt;z-index:-251606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">
              <v:textbox inset="0,0,0,0">
                <w:txbxContent>
                  <w:p w:rsidR="007A3F6D" w:rsidP="009B58B4" w:rsidRDefault="007A3F6D" w14:paraId="2632F407" w14:textId="77777777">
                    <w:pPr>
                      <w:pStyle w:val="MacPacTrailer"/>
                    </w:pPr>
                    <w:r>
                      <w:t>DB2/ 40287883.10</w:t>
                    </w:r>
                  </w:p>
                  <w:p w:rsidR="007A3F6D" w:rsidP="009B58B4" w:rsidRDefault="007A3F6D" w14:paraId="0BC870E9" w14:textId="77777777">
                    <w:pPr>
                      <w:pStyle w:val="MacPacTrailer"/>
                    </w:pPr>
                  </w:p>
                </w:txbxContent>
              </v:textbox>
              <w10:wrap anchorx="margin"/>
            </v:shape>
          </w:pict>
        </mc:Fallback>
      </mc:AlternateContent>
    </w:r>
  </w:p>
</w:ftr>
</file>

<file path=word/footer31.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20263B4C" w14:textId="77777777">
    <w:pPr>
      <w:pStyle w:val="Footer"/>
      <w:jc w:val="center"/>
      <w:rPr>
        <w:noProof/>
      </w:rPr>
    </w:pPr>
    <w:r>
      <w:rPr>
        <w:lang w:val="en-US"/>
      </w:rPr>
      <w:t>O-</w:t>
    </w:r>
    <w:sdt>
      <w:sdtPr>
        <w:id w:val="128184368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3</w:t>
        </w:r>
        <w:r>
          <w:rPr>
            <w:noProof/>
          </w:rPr>
          <w:fldChar w:fldCharType="end"/>
        </w:r>
      </w:sdtContent>
    </w:sdt>
  </w:p>
  <w:p w:rsidR="007A3F6D" w:rsidP="009B58B4" w:rsidRDefault="00B30290" w14:paraId="75BD88A1" w14:textId="77777777">
    <w:pPr>
      <w:pStyle w:val="Footer"/>
    </w:pPr>
    <w:r>
      <w:rPr>
        <w:noProof/>
      </w:rPr>
      <mc:AlternateContent>
        <mc:Choice Requires="wps">
          <w:drawing>
            <wp:anchor distT="0" distB="0" distL="114300" distR="114300" simplePos="0" relativeHeight="251712512" behindDoc="1" locked="0" layoutInCell="1" allowOverlap="1" wp14:editId="2927CD32" wp14:anchorId="6072A4C4">
              <wp:simplePos x="0" y="0"/>
              <wp:positionH relativeFrom="margin">
                <wp:posOffset>-67945</wp:posOffset>
              </wp:positionH>
              <wp:positionV relativeFrom="paragraph">
                <wp:posOffset>-111125</wp:posOffset>
              </wp:positionV>
              <wp:extent cx="2560320" cy="255905"/>
              <wp:effectExtent l="0" t="0" r="11430" b="10795"/>
              <wp:wrapNone/>
              <wp:docPr id="4"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580CEAFE" w14:textId="77777777">
                          <w:pPr>
                            <w:pStyle w:val="MacPacTrailer"/>
                          </w:pPr>
                          <w:r>
                            <w:t>DB2/ 40287883.10</w:t>
                          </w:r>
                        </w:p>
                        <w:p w:rsidR="007A3F6D" w:rsidP="009B58B4" w:rsidRDefault="007A3F6D" w14:paraId="029FFA94"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6072A4C4">
              <v:stroke joinstyle="miter"/>
              <v:path gradientshapeok="t" o:connecttype="rect"/>
            </v:shapetype>
            <v:shape id="_x0000_s1051" style="position:absolute;margin-left:-5.35pt;margin-top:-8.75pt;width:201.6pt;height:20.15pt;z-index:-251603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FPfAgdoBAACZAwAADgAAAAAAAAAAAAAAAAAuAgAAZHJzL2Uyb0RvYy54bWxQSwECLQAUAAYACAAA&#10;ACEADWD7Xt8AAAAKAQAADwAAAAAAAAAAAAAAAAA0BAAAZHJzL2Rvd25yZXYueG1sUEsFBgAAAAAE&#10;AAQA8wAAAEAFAAAAAA==&#10;">
              <v:textbox inset="0,0,0,0">
                <w:txbxContent>
                  <w:p w:rsidR="007A3F6D" w:rsidP="009B58B4" w:rsidRDefault="007A3F6D" w14:paraId="580CEAFE" w14:textId="77777777">
                    <w:pPr>
                      <w:pStyle w:val="MacPacTrailer"/>
                    </w:pPr>
                    <w:r>
                      <w:t>DB2/ 40287883.10</w:t>
                    </w:r>
                  </w:p>
                  <w:p w:rsidR="007A3F6D" w:rsidP="009B58B4" w:rsidRDefault="007A3F6D" w14:paraId="029FFA94" w14:textId="77777777">
                    <w:pPr>
                      <w:pStyle w:val="MacPacTrailer"/>
                    </w:pPr>
                  </w:p>
                </w:txbxContent>
              </v:textbox>
              <w10:wrap anchorx="margin"/>
            </v:shape>
          </w:pict>
        </mc:Fallback>
      </mc:AlternateContent>
    </w:r>
  </w:p>
</w:ftr>
</file>

<file path=word/footer32.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5165226E" w14:textId="77777777">
    <w:pPr>
      <w:pStyle w:val="Footer"/>
      <w:rPr>
        <w:lang w:val="en-US"/>
      </w:rPr>
    </w:pPr>
    <w:r>
      <w:tab/>
    </w:r>
    <w:r>
      <w:rPr>
        <w:lang w:val="en-US"/>
      </w:rPr>
      <w:t>P</w:t>
    </w:r>
    <w:r>
      <w:t>-</w:t>
    </w:r>
    <w:r>
      <w:rPr>
        <w:lang w:val="en-US"/>
      </w:rPr>
      <w:t>1</w:t>
    </w:r>
  </w:p>
  <w:p w:rsidR="007A3F6D" w:rsidP="009B58B4" w:rsidRDefault="00B30290" w14:paraId="2FE6B0ED" w14:textId="77777777">
    <w:pPr>
      <w:pStyle w:val="Footer"/>
    </w:pPr>
    <w:r>
      <w:rPr>
        <w:noProof/>
      </w:rPr>
      <mc:AlternateContent>
        <mc:Choice Requires="wps">
          <w:drawing>
            <wp:anchor distT="0" distB="0" distL="114300" distR="114300" simplePos="0" relativeHeight="251714560" behindDoc="1" locked="0" layoutInCell="1" allowOverlap="1" wp14:editId="17377D4B" wp14:anchorId="76F7B068">
              <wp:simplePos x="0" y="0"/>
              <wp:positionH relativeFrom="margin">
                <wp:posOffset>-67945</wp:posOffset>
              </wp:positionH>
              <wp:positionV relativeFrom="paragraph">
                <wp:posOffset>-111125</wp:posOffset>
              </wp:positionV>
              <wp:extent cx="2560320" cy="255905"/>
              <wp:effectExtent l="0" t="0" r="11430" b="10795"/>
              <wp:wrapNone/>
              <wp:docPr id="3"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546F2D8B" w14:textId="77777777">
                          <w:pPr>
                            <w:pStyle w:val="MacPacTrailer"/>
                          </w:pPr>
                          <w:r>
                            <w:t>DB2/ 40287883.10</w:t>
                          </w:r>
                        </w:p>
                        <w:p w:rsidR="007A3F6D" w:rsidP="009B58B4" w:rsidRDefault="007A3F6D" w14:paraId="48330E4E"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76F7B068">
              <v:stroke joinstyle="miter"/>
              <v:path gradientshapeok="t" o:connecttype="rect"/>
            </v:shapetype>
            <v:shape id="_x0000_s1052" style="position:absolute;margin-left:-5.35pt;margin-top:-8.75pt;width:201.6pt;height:20.15pt;z-index:-251601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">
              <v:textbox inset="0,0,0,0">
                <w:txbxContent>
                  <w:p w:rsidR="007A3F6D" w:rsidP="009B58B4" w:rsidRDefault="007A3F6D" w14:paraId="546F2D8B" w14:textId="77777777">
                    <w:pPr>
                      <w:pStyle w:val="MacPacTrailer"/>
                    </w:pPr>
                    <w:r>
                      <w:t>DB2/ 40287883.10</w:t>
                    </w:r>
                  </w:p>
                  <w:p w:rsidR="007A3F6D" w:rsidP="009B58B4" w:rsidRDefault="007A3F6D" w14:paraId="48330E4E" w14:textId="77777777">
                    <w:pPr>
                      <w:pStyle w:val="MacPacTrailer"/>
                    </w:pPr>
                  </w:p>
                </w:txbxContent>
              </v:textbox>
              <w10:wrap anchorx="margin"/>
            </v:shape>
          </w:pict>
        </mc:Fallback>
      </mc:AlternateContent>
    </w:r>
  </w:p>
</w:ftr>
</file>

<file path=word/footer33.xml><?xml version="1.0" encoding="utf-8"?>
<w:ftr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66449A7C" w14:textId="77777777">
    <w:pPr>
      <w:pStyle w:val="Footer"/>
      <w:jc w:val="center"/>
      <w:rPr>
        <w:noProof/>
      </w:rPr>
    </w:pPr>
    <w:r>
      <w:rPr>
        <w:lang w:val="en-US"/>
      </w:rPr>
      <w:t>Q-</w:t>
    </w:r>
    <w:sdt>
      <w:sdtPr>
        <w:id w:val="-6827368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3</w:t>
        </w:r>
        <w:r>
          <w:rPr>
            <w:noProof/>
          </w:rPr>
          <w:fldChar w:fldCharType="end"/>
        </w:r>
      </w:sdtContent>
    </w:sdt>
  </w:p>
  <w:p w:rsidR="007A3F6D" w:rsidP="009B58B4" w:rsidRDefault="00B30290" w14:paraId="70E78214" w14:textId="77777777">
    <w:pPr>
      <w:pStyle w:val="Footer"/>
    </w:pPr>
    <w:r>
      <w:rPr>
        <w:noProof/>
      </w:rPr>
      <mc:AlternateContent>
        <mc:Choice Requires="wps">
          <w:drawing>
            <wp:anchor distT="0" distB="0" distL="114300" distR="114300" simplePos="0" relativeHeight="251716608" behindDoc="1" locked="0" layoutInCell="1" allowOverlap="1" wp14:editId="7976B049" wp14:anchorId="46CE754C">
              <wp:simplePos x="0" y="0"/>
              <wp:positionH relativeFrom="margin">
                <wp:posOffset>-67945</wp:posOffset>
              </wp:positionH>
              <wp:positionV relativeFrom="paragraph">
                <wp:posOffset>-111125</wp:posOffset>
              </wp:positionV>
              <wp:extent cx="2560320" cy="255905"/>
              <wp:effectExtent l="0" t="0" r="11430" b="10795"/>
              <wp:wrapNone/>
              <wp:docPr id="2" name="Text Box 2" descr="" titl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wps:spPr>
                    <wps:txbx>
                      <w:txbxContent>
                        <w:p w:rsidR="007A3F6D" w:rsidP="009B58B4" w:rsidRDefault="007A3F6D" w14:paraId="690E453A" w14:textId="77777777">
                          <w:pPr>
                            <w:pStyle w:val="MacPacTrailer"/>
                          </w:pPr>
                          <w:r>
                            <w:t>DB2/ 40287883.10</w:t>
                          </w:r>
                        </w:p>
                        <w:p w:rsidR="007A3F6D" w:rsidP="009B58B4" w:rsidRDefault="007A3F6D" w14:paraId="6382B323" w14:textId="77777777">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w14:anchorId="46CE754C">
              <v:stroke joinstyle="miter"/>
              <v:path gradientshapeok="t" o:connecttype="rect"/>
            </v:shapetype>
            <v:shape id="_x0000_s1053" style="position:absolute;margin-left:-5.35pt;margin-top:-8.75pt;width:201.6pt;height:20.15pt;z-index:-251599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lt=""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">
              <v:textbox inset="0,0,0,0">
                <w:txbxContent>
                  <w:p w:rsidR="007A3F6D" w:rsidP="009B58B4" w:rsidRDefault="007A3F6D" w14:paraId="690E453A" w14:textId="77777777">
                    <w:pPr>
                      <w:pStyle w:val="MacPacTrailer"/>
                    </w:pPr>
                    <w:r>
                      <w:t>DB2/ 40287883.10</w:t>
                    </w:r>
                  </w:p>
                  <w:p w:rsidR="007A3F6D" w:rsidP="009B58B4" w:rsidRDefault="007A3F6D" w14:paraId="6382B323" w14:textId="77777777">
                    <w:pPr>
                      <w:pStyle w:val="MacPacTraile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A3F6D" w:rsidRDefault="007A3F6D" w14:paraId="73FAB508" w14:textId="77777777">
      <w:pPr>
        <w:rPr>
          <w:noProof/>
        </w:rPr>
      </w:pPr>
      <w:r>
        <w:rPr>
          <w:noProof/>
        </w:rPr>
        <w:separator/>
      </w:r>
    </w:p>
    <w:p w:rsidR="007A3F6D" w:rsidRDefault="007A3F6D" w14:paraId="73FFF5C1" w14:textId="77777777">
      <w:pPr>
        <w:rPr>
          <w:noProof/>
        </w:rPr>
      </w:pPr>
    </w:p>
  </w:footnote>
  <w:footnote w:type="continuationSeparator" w:id="0">
    <w:p w:rsidR="007A3F6D" w:rsidRDefault="007A3F6D" w14:paraId="07F7DC67" w14:textId="77777777">
      <w:r>
        <w:continuationSeparator/>
      </w:r>
    </w:p>
    <w:p w:rsidR="007A3F6D" w:rsidRDefault="007A3F6D" w14:paraId="4ACF0E5E" w14:textId="77777777"/>
  </w:footnote>
  <w:footnote w:type="continuationNotice" w:id="1">
    <w:p w:rsidR="007A3F6D" w:rsidRDefault="007A3F6D" w14:paraId="02546A72" w14:textId="77777777"/>
  </w:footnote>
  <w:footnote w:id="2">
    <w:p w:rsidR="007A3F6D" w:rsidRDefault="007A3F6D" w14:paraId="5955CBE4" w14:textId="77777777">
      <w:pPr>
        <w:pStyle w:val="FootnoteText"/>
        <w:rPr>
          <w:lang w:val="en-US"/>
        </w:rPr>
      </w:pPr>
      <w:r>
        <w:rPr>
          <w:rStyle w:val="FootnoteReference"/>
        </w:rPr>
        <w:footnoteRef/>
      </w:r>
      <w:r>
        <w:t xml:space="preserve"> </w:t>
      </w:r>
      <w:r>
        <w:rPr>
          <w:lang w:val="en-US"/>
        </w:rPr>
        <w:tab/>
      </w:r>
      <w:r>
        <w:rPr>
          <w:b/>
          <w:bCs/>
          <w:lang w:val="en-US"/>
        </w:rPr>
        <w:t>Note to Seller</w:t>
      </w:r>
      <w:r>
        <w:rPr>
          <w:lang w:val="en-US"/>
        </w:rPr>
        <w:t xml:space="preserve">:  This form has been designed primarily for battery energy storage, but can be adapted to accommodate other storage technologies.  </w:t>
      </w:r>
    </w:p>
  </w:footnote>
  <w:footnote w:id="3">
    <w:p w:rsidR="007A3F6D" w:rsidRDefault="007A3F6D" w14:paraId="4B7BCEE8" w14:textId="77777777">
      <w:pPr>
        <w:pStyle w:val="FootnoteText"/>
        <w:rPr>
          <w:lang w:val="en-US"/>
        </w:rPr>
      </w:pPr>
      <w:r>
        <w:rPr>
          <w:rStyle w:val="FootnoteReference"/>
        </w:rPr>
        <w:footnoteRef/>
      </w:r>
      <w:r>
        <w:t xml:space="preserve"> </w:t>
      </w:r>
      <w:r>
        <w:rPr>
          <w:b/>
          <w:bCs/>
          <w:lang w:val="en-US"/>
        </w:rPr>
        <w:t>NTD:</w:t>
      </w:r>
      <w:r>
        <w:rPr>
          <w:lang w:val="en-US"/>
        </w:rPr>
        <w:t xml:space="preserve">  Referenced exhibits to be included.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738115CD" w14:textId="77777777">
    <w:pPr>
      <w:tabs>
        <w:tab w:val="center" w:pos="4680"/>
        <w:tab w:val="right" w:pos="93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F27941D" w14:textId="77777777">
    <w:pPr>
      <w:tabs>
        <w:tab w:val="center" w:pos="4680"/>
        <w:tab w:val="right" w:pos="936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967DA3F" w14:textId="77777777">
    <w:pPr>
      <w:pStyle w:val="Header"/>
      <w:jc w:val="center"/>
      <w:rPr>
        <w:b/>
        <w:sz w:val="20"/>
        <w:szCs w:val="20"/>
      </w:rPr>
    </w:pPr>
    <w:proofErr w:type="spellStart"/>
    <w:r>
      <w:rPr>
        <w:b/>
        <w:sz w:val="20"/>
        <w:szCs w:val="20"/>
        <w:lang w:val="en-US"/>
      </w:rPr>
      <w:t>PSCo</w:t>
    </w:r>
    <w:proofErr w:type="spellEnd"/>
    <w:r>
      <w:rPr>
        <w:b/>
        <w:sz w:val="20"/>
        <w:szCs w:val="20"/>
        <w:lang w:val="en-US"/>
      </w:rPr>
      <w:t xml:space="preserve"> </w:t>
    </w:r>
    <w:r>
      <w:rPr>
        <w:b/>
        <w:sz w:val="20"/>
        <w:szCs w:val="20"/>
      </w:rPr>
      <w:t xml:space="preserve">Model </w:t>
    </w:r>
    <w:r>
      <w:rPr>
        <w:b/>
        <w:sz w:val="20"/>
        <w:szCs w:val="20"/>
        <w:lang w:val="en-US"/>
      </w:rPr>
      <w:t>Storage</w:t>
    </w:r>
    <w:r>
      <w:rPr>
        <w:b/>
        <w:sz w:val="20"/>
        <w:szCs w:val="20"/>
      </w:rPr>
      <w:t xml:space="preserve"> Energy Purchase Agreement</w:t>
    </w:r>
  </w:p>
  <w:p w:rsidR="007A3F6D" w:rsidRDefault="007A3F6D" w14:paraId="302C899D" w14:textId="77777777">
    <w:pPr>
      <w:pStyle w:val="BodyText"/>
    </w:pPr>
    <w:r>
      <w:tab/>
    </w:r>
    <w:r>
      <w:tab/>
    </w:r>
    <w:r>
      <w:tab/>
    </w:r>
    <w:r>
      <w:tab/>
    </w:r>
    <w:r>
      <w:tab/>
    </w:r>
    <w:r>
      <w:tab/>
    </w:r>
    <w:r>
      <w:tab/>
    </w:r>
    <w:r>
      <w:tab/>
    </w:r>
    <w:r>
      <w:tab/>
    </w:r>
    <w:r>
      <w:tab/>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744F9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D9BFD71" w14:textId="77777777">
    <w:pPr>
      <w:tabs>
        <w:tab w:val="center" w:pos="4680"/>
        <w:tab w:val="right" w:pos="9360"/>
      </w:tabs>
      <w:jc w:val="right"/>
      <w:rPr>
        <w:b/>
        <w:i/>
      </w:rPr>
    </w:pPr>
  </w:p>
  <w:p w:rsidR="007A3F6D" w:rsidRDefault="007A3F6D" w14:paraId="04568AA2" w14:textId="77777777">
    <w:pPr>
      <w:spacing w:after="240"/>
      <w:jc w:val="right"/>
      <w:rPr>
        <w:b/>
        <w:i/>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47DC2D67" w14:textId="77777777">
    <w:pPr>
      <w:pStyle w:val="Header"/>
      <w:jc w:val="center"/>
    </w:pPr>
    <w:proofErr w:type="spellStart"/>
    <w:r>
      <w:rPr>
        <w:b/>
        <w:sz w:val="20"/>
        <w:szCs w:val="20"/>
        <w:lang w:val="en-US"/>
      </w:rPr>
      <w:t>PSCo</w:t>
    </w:r>
    <w:proofErr w:type="spellEnd"/>
    <w:r>
      <w:rPr>
        <w:b/>
        <w:sz w:val="20"/>
        <w:szCs w:val="20"/>
        <w:lang w:val="en-US"/>
      </w:rPr>
      <w:t xml:space="preserve"> </w:t>
    </w:r>
    <w:r>
      <w:rPr>
        <w:b/>
        <w:sz w:val="20"/>
        <w:szCs w:val="20"/>
      </w:rPr>
      <w:t xml:space="preserve">Model </w:t>
    </w:r>
    <w:r>
      <w:rPr>
        <w:b/>
        <w:sz w:val="20"/>
        <w:szCs w:val="20"/>
        <w:lang w:val="en-US"/>
      </w:rPr>
      <w:t>Storage</w:t>
    </w:r>
    <w:r>
      <w:rPr>
        <w:b/>
        <w:sz w:val="20"/>
        <w:szCs w:val="20"/>
      </w:rPr>
      <w:t xml:space="preserve"> Energy Purchase Agreement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A3F6D" w:rsidRDefault="007A3F6D" w14:paraId="171AC30F" w14:textId="77777777">
    <w:pPr>
      <w:pStyle w:val="Header"/>
      <w:jc w:val="center"/>
      <w:rPr>
        <w:b/>
      </w:rPr>
    </w:pPr>
    <w:proofErr w:type="spellStart"/>
    <w:r>
      <w:rPr>
        <w:b/>
        <w:sz w:val="20"/>
        <w:szCs w:val="20"/>
        <w:lang w:val="en-US"/>
      </w:rPr>
      <w:t>PSCo</w:t>
    </w:r>
    <w:proofErr w:type="spellEnd"/>
    <w:r>
      <w:rPr>
        <w:b/>
        <w:sz w:val="20"/>
        <w:szCs w:val="20"/>
        <w:lang w:val="en-US"/>
      </w:rPr>
      <w:t xml:space="preserve"> </w:t>
    </w:r>
    <w:r>
      <w:rPr>
        <w:b/>
        <w:sz w:val="20"/>
        <w:szCs w:val="20"/>
      </w:rPr>
      <w:t xml:space="preserve">Model </w:t>
    </w:r>
    <w:r>
      <w:rPr>
        <w:b/>
        <w:sz w:val="20"/>
        <w:szCs w:val="20"/>
        <w:lang w:val="en-US"/>
      </w:rPr>
      <w:t>Storage</w:t>
    </w:r>
    <w:r>
      <w:rPr>
        <w:b/>
        <w:sz w:val="20"/>
        <w:szCs w:val="20"/>
      </w:rPr>
      <w:t xml:space="preserve"> Energy Purchase Agreement</w:t>
    </w:r>
  </w:p>
  <w:p w:rsidR="007A3F6D" w:rsidRDefault="007A3F6D" w14:paraId="78B9CEB8" w14:textId="77777777">
    <w:pPr>
      <w:pStyle w:val="Header"/>
      <w:jc w:val="center"/>
      <w:rPr>
        <w:b/>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518CFE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4849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C3BC966E"/>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2684CB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ACF4C2C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D2ED8A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7A82AB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43C470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E3A051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55E81F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00000000"/>
    <w:lvl w:ilvl="0">
      <w:start w:val="1"/>
      <w:numFmt w:val="decimal"/>
      <w:pStyle w:val="Level1"/>
      <w:lvlText w:val="%1."/>
      <w:lvlJc w:val="left"/>
      <w:pPr>
        <w:ind w:firstLine="1440"/>
      </w:pPr>
      <w:rPr>
        <w:rFonts w:ascii="Times New Roman" w:hAnsi="Times New Roman"/>
        <w:sz w:val="24"/>
        <w:szCs w:val="24"/>
      </w:rPr>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pStyle w:val="Level5"/>
      <w:lvlText w:val="(%5)"/>
      <w:lvlJc w:val="left"/>
      <w:pPr>
        <w:ind w:firstLine="2160"/>
      </w:pPr>
    </w:lvl>
    <w:lvl w:ilvl="5">
      <w:start w:val="1"/>
      <w:numFmt w:val="lowerRoman"/>
      <w:lvlText w:val="%6"/>
      <w:lvlJc w:val="left"/>
    </w:lvl>
    <w:lvl w:ilvl="6">
      <w:start w:val="1"/>
      <w:numFmt w:val="decimal"/>
      <w:lvlText w:val="%7"/>
      <w:lvlJc w:val="left"/>
    </w:lvl>
    <w:lvl w:ilvl="7">
      <w:start w:val="1"/>
      <w:numFmt w:val="lowerLetter"/>
      <w:lvlText w:val="%8"/>
      <w:lvlJc w:val="left"/>
    </w:lvl>
    <w:lvl w:ilvl="8">
      <w:numFmt w:val="decimal"/>
      <w:lvlText w:val=""/>
      <w:lvlJc w:val="left"/>
    </w:lvl>
  </w:abstractNum>
  <w:abstractNum w:abstractNumId="11" w15:restartNumberingAfterBreak="0">
    <w:nsid w:val="00000008"/>
    <w:multiLevelType w:val="multilevel"/>
    <w:tmpl w:val="DBCA8E76"/>
    <w:lvl w:ilvl="0">
      <w:start w:val="1"/>
      <w:numFmt w:val="upperLetter"/>
      <w:pStyle w:val="AppendixHeading"/>
      <w:suff w:val="space"/>
      <w:lvlText w:val="APPENDIX %1:"/>
      <w:lvlJc w:val="left"/>
      <w:pPr>
        <w:widowControl w:val="0"/>
        <w:autoSpaceDE w:val="0"/>
        <w:autoSpaceDN w:val="0"/>
        <w:adjustRightInd w:val="0"/>
        <w:ind w:left="3330"/>
      </w:pPr>
      <w:rPr>
        <w:rFonts w:ascii="Times New Roman" w:hAnsi="Times New Roman" w:cs="Times New Roman"/>
        <w:b/>
        <w:bCs/>
        <w:color w:val="000000"/>
        <w:kern w:val="28"/>
        <w:sz w:val="24"/>
        <w:szCs w:val="24"/>
        <w:u w:val="single"/>
      </w:rPr>
    </w:lvl>
    <w:lvl w:ilvl="1">
      <w:start w:val="1"/>
      <w:numFmt w:val="decimal"/>
      <w:lvlRestart w:val="0"/>
      <w:lvlText w:val="%1.%2"/>
      <w:lvlJc w:val="left"/>
      <w:pPr>
        <w:widowControl w:val="0"/>
        <w:tabs>
          <w:tab w:val="num" w:pos="720"/>
        </w:tabs>
        <w:autoSpaceDE w:val="0"/>
        <w:autoSpaceDN w:val="0"/>
        <w:adjustRightInd w:val="0"/>
      </w:pPr>
      <w:rPr>
        <w:rFonts w:ascii="Times New Roman" w:hAnsi="Times New Roman" w:cs="Times New Roman"/>
        <w:b w:val="0"/>
        <w:bCs w:val="0"/>
        <w:sz w:val="24"/>
        <w:szCs w:val="24"/>
      </w:rPr>
    </w:lvl>
    <w:lvl w:ilvl="2">
      <w:start w:val="1"/>
      <w:numFmt w:val="decimal"/>
      <w:lvlText w:val="%1.%2.%3"/>
      <w:lvlJc w:val="left"/>
      <w:pPr>
        <w:widowControl w:val="0"/>
        <w:tabs>
          <w:tab w:val="num" w:pos="1080"/>
        </w:tabs>
        <w:autoSpaceDE w:val="0"/>
        <w:autoSpaceDN w:val="0"/>
        <w:adjustRightInd w:val="0"/>
        <w:ind w:left="1080" w:hanging="360"/>
      </w:pPr>
      <w:rPr>
        <w:rFonts w:ascii="Times New Roman" w:hAnsi="Times New Roman" w:cs="Times New Roman"/>
        <w:sz w:val="24"/>
        <w:szCs w:val="24"/>
      </w:rPr>
    </w:lvl>
    <w:lvl w:ilvl="3">
      <w:start w:val="1"/>
      <w:numFmt w:val="decimal"/>
      <w:lvlRestart w:val="0"/>
      <w:lvlText w:val="%1.%2.%3.%4"/>
      <w:lvlJc w:val="left"/>
      <w:pPr>
        <w:widowControl w:val="0"/>
        <w:tabs>
          <w:tab w:val="num" w:pos="1440"/>
        </w:tabs>
        <w:autoSpaceDE w:val="0"/>
        <w:autoSpaceDN w:val="0"/>
        <w:adjustRightInd w:val="0"/>
        <w:ind w:left="1440" w:hanging="360"/>
      </w:pPr>
      <w:rPr>
        <w:rFonts w:ascii="Times New Roman" w:hAnsi="Times New Roman" w:cs="Times New Roman"/>
        <w:sz w:val="24"/>
        <w:szCs w:val="24"/>
      </w:rPr>
    </w:lvl>
    <w:lvl w:ilvl="4">
      <w:start w:val="1"/>
      <w:numFmt w:val="lowerLetter"/>
      <w:lvlText w:val="(%5)"/>
      <w:lvlJc w:val="left"/>
      <w:pPr>
        <w:widowControl w:val="0"/>
        <w:tabs>
          <w:tab w:val="num" w:pos="1800"/>
        </w:tabs>
        <w:autoSpaceDE w:val="0"/>
        <w:autoSpaceDN w:val="0"/>
        <w:adjustRightInd w:val="0"/>
        <w:ind w:left="1800" w:hanging="360"/>
      </w:pPr>
      <w:rPr>
        <w:rFonts w:ascii="Arial" w:hAnsi="Arial" w:cs="Times New Roman"/>
        <w:sz w:val="24"/>
        <w:szCs w:val="24"/>
      </w:rPr>
    </w:lvl>
    <w:lvl w:ilvl="5">
      <w:start w:val="1"/>
      <w:numFmt w:val="lowerRoman"/>
      <w:lvlText w:val="(%6)"/>
      <w:lvlJc w:val="left"/>
      <w:pPr>
        <w:widowControl w:val="0"/>
        <w:tabs>
          <w:tab w:val="num" w:pos="2160"/>
        </w:tabs>
        <w:autoSpaceDE w:val="0"/>
        <w:autoSpaceDN w:val="0"/>
        <w:adjustRightInd w:val="0"/>
        <w:ind w:left="2160" w:hanging="360"/>
      </w:pPr>
      <w:rPr>
        <w:rFonts w:ascii="Times New Roman" w:hAnsi="Times New Roman" w:cs="Times New Roman"/>
        <w:sz w:val="24"/>
        <w:szCs w:val="24"/>
      </w:rPr>
    </w:lvl>
    <w:lvl w:ilvl="6">
      <w:start w:val="1"/>
      <w:numFmt w:val="decimal"/>
      <w:lvlText w:val="%7."/>
      <w:lvlJc w:val="left"/>
      <w:pPr>
        <w:widowControl w:val="0"/>
        <w:tabs>
          <w:tab w:val="num" w:pos="2520"/>
        </w:tabs>
        <w:autoSpaceDE w:val="0"/>
        <w:autoSpaceDN w:val="0"/>
        <w:adjustRightInd w:val="0"/>
        <w:ind w:left="2520" w:hanging="360"/>
      </w:pPr>
      <w:rPr>
        <w:rFonts w:ascii="Times New Roman" w:hAnsi="Times New Roman" w:cs="Times New Roman"/>
        <w:sz w:val="24"/>
        <w:szCs w:val="24"/>
      </w:rPr>
    </w:lvl>
    <w:lvl w:ilvl="7">
      <w:start w:val="1"/>
      <w:numFmt w:val="lowerLetter"/>
      <w:lvlText w:val="%8."/>
      <w:lvlJc w:val="left"/>
      <w:pPr>
        <w:widowControl w:val="0"/>
        <w:tabs>
          <w:tab w:val="num" w:pos="2880"/>
        </w:tabs>
        <w:autoSpaceDE w:val="0"/>
        <w:autoSpaceDN w:val="0"/>
        <w:adjustRightInd w:val="0"/>
        <w:ind w:left="2880" w:hanging="360"/>
      </w:pPr>
      <w:rPr>
        <w:rFonts w:ascii="Times New Roman" w:hAnsi="Times New Roman" w:cs="Times New Roman"/>
        <w:sz w:val="24"/>
        <w:szCs w:val="24"/>
      </w:rPr>
    </w:lvl>
    <w:lvl w:ilvl="8">
      <w:start w:val="1"/>
      <w:numFmt w:val="lowerRoman"/>
      <w:lvlText w:val="%9."/>
      <w:lvlJc w:val="left"/>
      <w:pPr>
        <w:widowControl w:val="0"/>
        <w:tabs>
          <w:tab w:val="num" w:pos="3240"/>
        </w:tabs>
        <w:autoSpaceDE w:val="0"/>
        <w:autoSpaceDN w:val="0"/>
        <w:adjustRightInd w:val="0"/>
        <w:ind w:left="3240" w:hanging="360"/>
      </w:pPr>
      <w:rPr>
        <w:rFonts w:ascii="Times New Roman" w:hAnsi="Times New Roman" w:cs="Times New Roman"/>
        <w:sz w:val="24"/>
        <w:szCs w:val="24"/>
      </w:rPr>
    </w:lvl>
  </w:abstractNum>
  <w:abstractNum w:abstractNumId="12" w15:restartNumberingAfterBreak="0">
    <w:nsid w:val="0000000D"/>
    <w:multiLevelType w:val="multilevel"/>
    <w:tmpl w:val="9AAC352A"/>
    <w:name w:val="zzmpBylaws||Bylaws|2|1|1|0|0|41||1|0|1||1|0|1||1|0|0||1|0|0||mpNA||mpNA||mpNA||mpNA||"/>
    <w:lvl w:ilvl="0">
      <w:start w:val="1"/>
      <w:numFmt w:val="upperRoman"/>
      <w:lvlRestart w:val="0"/>
      <w:pStyle w:val="BylawsL1"/>
      <w:suff w:val="nothing"/>
      <w:lvlText w:val="ARTICLE %1 - "/>
      <w:lvlJc w:val="left"/>
      <w:pPr>
        <w:tabs>
          <w:tab w:val="num" w:pos="0"/>
        </w:tabs>
      </w:pPr>
      <w:rPr>
        <w:rFonts w:ascii="Times New Roman" w:eastAsia="Times New Roman" w:hAnsi="Times New Roman" w:cs="Times New Roman"/>
        <w:b/>
        <w:i w:val="0"/>
        <w:caps/>
        <w:smallCaps w:val="0"/>
        <w:color w:val="auto"/>
        <w:spacing w:val="0"/>
        <w:sz w:val="24"/>
        <w:u w:val="none"/>
      </w:rPr>
    </w:lvl>
    <w:lvl w:ilvl="1">
      <w:start w:val="1"/>
      <w:numFmt w:val="decimal"/>
      <w:lvlRestart w:val="0"/>
      <w:pStyle w:val="BylawsL2"/>
      <w:isLgl/>
      <w:lvlText w:val="%1.%2"/>
      <w:lvlJc w:val="left"/>
      <w:pPr>
        <w:tabs>
          <w:tab w:val="num" w:pos="720"/>
        </w:tabs>
        <w:ind w:left="720" w:hanging="720"/>
      </w:pPr>
      <w:rPr>
        <w:rFonts w:ascii="Times New Roman" w:eastAsia="Times New Roman" w:hAnsi="Times New Roman" w:cs="Times New Roman"/>
        <w:b/>
        <w:i w:val="0"/>
        <w:caps w:val="0"/>
        <w:smallCaps w:val="0"/>
        <w:color w:val="auto"/>
        <w:spacing w:val="0"/>
        <w:sz w:val="24"/>
        <w:u w:val="none"/>
      </w:rPr>
    </w:lvl>
    <w:lvl w:ilvl="2">
      <w:start w:val="1"/>
      <w:numFmt w:val="lowerLetter"/>
      <w:pStyle w:val="BylawsL3"/>
      <w:lvlText w:val="(%3)"/>
      <w:lvlJc w:val="left"/>
      <w:pPr>
        <w:tabs>
          <w:tab w:val="num" w:pos="1440"/>
        </w:tabs>
        <w:ind w:left="720"/>
      </w:pPr>
      <w:rPr>
        <w:rFonts w:ascii="Times New Roman" w:eastAsia="Times New Roman" w:hAnsi="Times New Roman" w:cs="Times New Roman"/>
        <w:b w:val="0"/>
        <w:i w:val="0"/>
        <w:caps w:val="0"/>
        <w:smallCaps w:val="0"/>
        <w:color w:val="auto"/>
        <w:spacing w:val="0"/>
        <w:sz w:val="24"/>
        <w:u w:val="none"/>
      </w:rPr>
    </w:lvl>
    <w:lvl w:ilvl="3">
      <w:start w:val="1"/>
      <w:numFmt w:val="lowerRoman"/>
      <w:pStyle w:val="BylawsL4"/>
      <w:lvlText w:val="(%4)"/>
      <w:lvlJc w:val="left"/>
      <w:pPr>
        <w:tabs>
          <w:tab w:val="num" w:pos="2160"/>
        </w:tabs>
        <w:ind w:left="1440"/>
      </w:pPr>
      <w:rPr>
        <w:rFonts w:ascii="Times New Roman" w:eastAsia="Times New Roman" w:hAnsi="Times New Roman" w:cs="Times New Roman"/>
        <w:b w:val="0"/>
        <w:i w:val="0"/>
        <w:caps w:val="0"/>
        <w:smallCaps w:val="0"/>
        <w:color w:val="auto"/>
        <w:spacing w:val="0"/>
        <w:sz w:val="24"/>
        <w:u w:val="none"/>
      </w:rPr>
    </w:lvl>
    <w:lvl w:ilvl="4">
      <w:start w:val="1"/>
      <w:numFmt w:val="lowerRoman"/>
      <w:pStyle w:val="BylawsL5"/>
      <w:lvlText w:val="(%5)"/>
      <w:lvlJc w:val="left"/>
      <w:pPr>
        <w:tabs>
          <w:tab w:val="num" w:pos="3600"/>
        </w:tabs>
        <w:ind w:firstLine="2880"/>
      </w:pPr>
      <w:rPr>
        <w:rFonts w:ascii="Times New Roman" w:eastAsia="Times New Roman" w:hAnsi="Times New Roman" w:cs="Times New Roman"/>
        <w:b w:val="0"/>
        <w:i w:val="0"/>
        <w:caps w:val="0"/>
        <w:smallCaps w:val="0"/>
        <w:color w:val="auto"/>
        <w:spacing w:val="0"/>
        <w:sz w:val="24"/>
        <w:u w:val="none"/>
      </w:rPr>
    </w:lvl>
    <w:lvl w:ilvl="5">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6">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7">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lvl w:ilvl="8">
      <w:start w:val="1"/>
      <w:numFmt w:val="none"/>
      <w:suff w:val="nothing"/>
      <w:lvlText w:val=""/>
      <w:lvlJc w:val="left"/>
      <w:pPr>
        <w:tabs>
          <w:tab w:val="num" w:pos="0"/>
        </w:tabs>
      </w:pPr>
      <w:rPr>
        <w:rFonts w:ascii="Times New Roman" w:eastAsia="Times New Roman" w:hAnsi="Times New Roman" w:cs="Times New Roman"/>
        <w:b w:val="0"/>
        <w:i w:val="0"/>
        <w:caps w:val="0"/>
        <w:smallCaps w:val="0"/>
        <w:color w:val="auto"/>
        <w:spacing w:val="0"/>
        <w:sz w:val="24"/>
        <w:u w:val="none"/>
      </w:rPr>
    </w:lvl>
  </w:abstractNum>
  <w:abstractNum w:abstractNumId="13" w15:restartNumberingAfterBreak="0">
    <w:nsid w:val="00000023"/>
    <w:multiLevelType w:val="multilevel"/>
    <w:tmpl w:val="32AEC368"/>
    <w:lvl w:ilvl="0">
      <w:start w:val="1"/>
      <w:numFmt w:val="decimal"/>
      <w:pStyle w:val="MT1"/>
      <w:lvlText w:val="%1."/>
      <w:lvlJc w:val="left"/>
      <w:pPr>
        <w:tabs>
          <w:tab w:val="num" w:pos="720"/>
        </w:tabs>
        <w:ind w:left="720" w:hanging="720"/>
      </w:pPr>
      <w:rPr>
        <w:rFonts w:hint="eastAsia"/>
        <w:spacing w:val="0"/>
      </w:rPr>
    </w:lvl>
    <w:lvl w:ilvl="1">
      <w:start w:val="1"/>
      <w:numFmt w:val="lowerLetter"/>
      <w:pStyle w:val="MT2"/>
      <w:lvlText w:val="(%2)"/>
      <w:lvlJc w:val="left"/>
      <w:pPr>
        <w:tabs>
          <w:tab w:val="num" w:pos="1440"/>
        </w:tabs>
        <w:ind w:left="1440" w:hanging="720"/>
      </w:pPr>
      <w:rPr>
        <w:rFonts w:hint="eastAsia"/>
        <w:spacing w:val="0"/>
      </w:rPr>
    </w:lvl>
    <w:lvl w:ilvl="2">
      <w:start w:val="1"/>
      <w:numFmt w:val="lowerRoman"/>
      <w:pStyle w:val="MT3"/>
      <w:lvlText w:val="(%3)"/>
      <w:lvlJc w:val="left"/>
      <w:pPr>
        <w:tabs>
          <w:tab w:val="num" w:pos="2160"/>
        </w:tabs>
        <w:ind w:left="2160" w:hanging="720"/>
      </w:pPr>
      <w:rPr>
        <w:rFonts w:hint="eastAsia"/>
        <w:spacing w:val="0"/>
      </w:rPr>
    </w:lvl>
    <w:lvl w:ilvl="3">
      <w:start w:val="1"/>
      <w:numFmt w:val="lowerRoman"/>
      <w:pStyle w:val="MT4"/>
      <w:lvlText w:val="(%4)"/>
      <w:lvlJc w:val="left"/>
      <w:pPr>
        <w:tabs>
          <w:tab w:val="num" w:pos="2880"/>
        </w:tabs>
        <w:ind w:left="2880" w:hanging="720"/>
      </w:pPr>
      <w:rPr>
        <w:rFonts w:hint="eastAsia"/>
        <w:b w:val="0"/>
        <w:spacing w:val="0"/>
      </w:rPr>
    </w:lvl>
    <w:lvl w:ilvl="4">
      <w:start w:val="1"/>
      <w:numFmt w:val="lowerLetter"/>
      <w:pStyle w:val="MT5"/>
      <w:lvlText w:val="%5)"/>
      <w:lvlJc w:val="left"/>
      <w:pPr>
        <w:tabs>
          <w:tab w:val="num" w:pos="3600"/>
        </w:tabs>
        <w:ind w:left="3600" w:hanging="720"/>
      </w:pPr>
      <w:rPr>
        <w:rFonts w:hint="eastAsia"/>
        <w:spacing w:val="0"/>
      </w:rPr>
    </w:lvl>
    <w:lvl w:ilvl="5">
      <w:start w:val="1"/>
      <w:numFmt w:val="lowerRoman"/>
      <w:pStyle w:val="MT6"/>
      <w:lvlText w:val="%6)"/>
      <w:lvlJc w:val="left"/>
      <w:pPr>
        <w:tabs>
          <w:tab w:val="num" w:pos="4320"/>
        </w:tabs>
        <w:ind w:left="4320" w:hanging="720"/>
      </w:pPr>
      <w:rPr>
        <w:rFonts w:hint="eastAsia"/>
        <w:spacing w:val="0"/>
      </w:rPr>
    </w:lvl>
    <w:lvl w:ilvl="6">
      <w:start w:val="1"/>
      <w:numFmt w:val="upperLetter"/>
      <w:pStyle w:val="MT7"/>
      <w:lvlText w:val="%7)"/>
      <w:lvlJc w:val="left"/>
      <w:pPr>
        <w:tabs>
          <w:tab w:val="num" w:pos="4320"/>
        </w:tabs>
        <w:ind w:left="4320" w:hanging="720"/>
      </w:pPr>
      <w:rPr>
        <w:rFonts w:hint="eastAsia"/>
        <w:spacing w:val="0"/>
      </w:rPr>
    </w:lvl>
    <w:lvl w:ilvl="7">
      <w:start w:val="1"/>
      <w:numFmt w:val="lowerLetter"/>
      <w:pStyle w:val="MT8"/>
      <w:lvlText w:val="%8."/>
      <w:lvlJc w:val="left"/>
      <w:pPr>
        <w:tabs>
          <w:tab w:val="num" w:pos="4320"/>
        </w:tabs>
        <w:ind w:left="4320" w:hanging="720"/>
      </w:pPr>
      <w:rPr>
        <w:rFonts w:hint="eastAsia"/>
        <w:spacing w:val="0"/>
      </w:rPr>
    </w:lvl>
    <w:lvl w:ilvl="8">
      <w:start w:val="1"/>
      <w:numFmt w:val="lowerRoman"/>
      <w:pStyle w:val="MT9"/>
      <w:lvlText w:val="%9."/>
      <w:lvlJc w:val="left"/>
      <w:pPr>
        <w:tabs>
          <w:tab w:val="num" w:pos="4320"/>
        </w:tabs>
        <w:ind w:left="4320" w:hanging="720"/>
      </w:pPr>
      <w:rPr>
        <w:rFonts w:hint="eastAsia"/>
        <w:spacing w:val="0"/>
      </w:rPr>
    </w:lvl>
  </w:abstractNum>
  <w:abstractNum w:abstractNumId="14" w15:restartNumberingAfterBreak="0">
    <w:nsid w:val="01664670"/>
    <w:multiLevelType w:val="multilevel"/>
    <w:tmpl w:val="66FAFBAE"/>
    <w:name w:val="HeadingStyles||Heading|3|3|0|1|0|33||1|0|34||1|0|33||1|0|33||1|0|35||1|0|33||1|0|32||1|0|34||1|0|32||"/>
    <w:styleLink w:val="ArticleSection"/>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08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pStyle w:val="Heading5"/>
      <w:lvlText w:val="%5)"/>
      <w:lvlJc w:val="left"/>
      <w:pPr>
        <w:tabs>
          <w:tab w:val="num" w:pos="1008"/>
        </w:tabs>
        <w:ind w:left="1008" w:hanging="432"/>
      </w:pPr>
    </w:lvl>
    <w:lvl w:ilvl="5">
      <w:start w:val="1"/>
      <w:numFmt w:val="lowerLetter"/>
      <w:pStyle w:val="Heading6"/>
      <w:lvlText w:val="%6)"/>
      <w:lvlJc w:val="left"/>
      <w:pPr>
        <w:tabs>
          <w:tab w:val="num" w:pos="1152"/>
        </w:tabs>
        <w:ind w:left="1152" w:hanging="432"/>
      </w:pPr>
    </w:lvl>
    <w:lvl w:ilvl="6">
      <w:start w:val="1"/>
      <w:numFmt w:val="lowerRoman"/>
      <w:pStyle w:val="Heading7"/>
      <w:lvlText w:val="%7)"/>
      <w:lvlJc w:val="right"/>
      <w:pPr>
        <w:tabs>
          <w:tab w:val="num" w:pos="1296"/>
        </w:tabs>
        <w:ind w:left="1296" w:hanging="288"/>
      </w:pPr>
    </w:lvl>
    <w:lvl w:ilvl="7">
      <w:start w:val="1"/>
      <w:numFmt w:val="lowerLetter"/>
      <w:pStyle w:val="Heading8"/>
      <w:lvlText w:val="%8."/>
      <w:lvlJc w:val="left"/>
      <w:pPr>
        <w:tabs>
          <w:tab w:val="num" w:pos="1440"/>
        </w:tabs>
        <w:ind w:left="1440" w:hanging="432"/>
      </w:pPr>
    </w:lvl>
    <w:lvl w:ilvl="8">
      <w:start w:val="1"/>
      <w:numFmt w:val="lowerRoman"/>
      <w:pStyle w:val="Heading9"/>
      <w:lvlText w:val="%9."/>
      <w:lvlJc w:val="right"/>
      <w:pPr>
        <w:tabs>
          <w:tab w:val="num" w:pos="1584"/>
        </w:tabs>
        <w:ind w:left="1584" w:hanging="144"/>
      </w:pPr>
    </w:lvl>
  </w:abstractNum>
  <w:abstractNum w:abstractNumId="15" w15:restartNumberingAfterBreak="0">
    <w:nsid w:val="03B74386"/>
    <w:multiLevelType w:val="hybridMultilevel"/>
    <w:tmpl w:val="529E07C4"/>
    <w:lvl w:ilvl="0" w:tplc="FFFFFFFF">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059605AA"/>
    <w:multiLevelType w:val="hybridMultilevel"/>
    <w:tmpl w:val="DAA69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EB27B73"/>
    <w:multiLevelType w:val="multilevel"/>
    <w:tmpl w:val="51466BC2"/>
    <w:styleLink w:val="111111"/>
    <w:lvl w:ilvl="0">
      <w:start w:val="1"/>
      <w:numFmt w:val="decimal"/>
      <w:suff w:val="space"/>
      <w:lvlText w:val="Article %1 -"/>
      <w:lvlJc w:val="left"/>
      <w:pPr>
        <w:tabs>
          <w:tab w:val="num" w:pos="2160"/>
        </w:tabs>
        <w:ind w:left="1440" w:firstLine="0"/>
      </w:pPr>
      <w:rPr>
        <w:b/>
        <w:i w:val="0"/>
        <w:caps w:val="0"/>
        <w:smallCaps w:val="0"/>
        <w:color w:val="auto"/>
        <w:u w:val="none"/>
      </w:rPr>
    </w:lvl>
    <w:lvl w:ilvl="1">
      <w:start w:val="1"/>
      <w:numFmt w:val="decimal"/>
      <w:lvlText w:val="%1.%2"/>
      <w:lvlJc w:val="left"/>
      <w:pPr>
        <w:tabs>
          <w:tab w:val="num" w:pos="2880"/>
        </w:tabs>
        <w:ind w:left="1440" w:firstLine="720"/>
      </w:pPr>
      <w:rPr>
        <w:b w:val="0"/>
        <w:i w:val="0"/>
        <w:caps w:val="0"/>
        <w:u w:val="none"/>
      </w:rPr>
    </w:lvl>
    <w:lvl w:ilvl="2">
      <w:start w:val="1"/>
      <w:numFmt w:val="upperLetter"/>
      <w:lvlText w:val="(%3)"/>
      <w:lvlJc w:val="left"/>
      <w:pPr>
        <w:tabs>
          <w:tab w:val="num" w:pos="3460"/>
        </w:tabs>
        <w:ind w:left="1300" w:firstLine="1440"/>
      </w:pPr>
      <w:rPr>
        <w:b w:val="0"/>
        <w:i w:val="0"/>
        <w:caps w:val="0"/>
        <w:u w:val="none"/>
      </w:rPr>
    </w:lvl>
    <w:lvl w:ilvl="3">
      <w:start w:val="1"/>
      <w:numFmt w:val="decimal"/>
      <w:lvlText w:val="%4."/>
      <w:lvlJc w:val="left"/>
      <w:pPr>
        <w:tabs>
          <w:tab w:val="num" w:pos="4320"/>
        </w:tabs>
        <w:ind w:left="4320" w:hanging="720"/>
      </w:pPr>
      <w:rPr>
        <w:b w:val="0"/>
        <w:i w:val="0"/>
        <w:caps w:val="0"/>
        <w:u w:val="none"/>
      </w:rPr>
    </w:lvl>
    <w:lvl w:ilvl="4">
      <w:start w:val="1"/>
      <w:numFmt w:val="decimal"/>
      <w:lvlText w:val="(%5)"/>
      <w:lvlJc w:val="left"/>
      <w:pPr>
        <w:tabs>
          <w:tab w:val="num" w:pos="4320"/>
        </w:tabs>
        <w:ind w:left="1440" w:firstLine="2160"/>
      </w:pPr>
      <w:rPr>
        <w:b w:val="0"/>
        <w:i w:val="0"/>
        <w:caps w:val="0"/>
        <w:u w:val="none"/>
      </w:rPr>
    </w:lvl>
    <w:lvl w:ilvl="5">
      <w:start w:val="1"/>
      <w:numFmt w:val="decimal"/>
      <w:lvlText w:val="(%6)"/>
      <w:lvlJc w:val="left"/>
      <w:pPr>
        <w:tabs>
          <w:tab w:val="num" w:pos="5760"/>
        </w:tabs>
        <w:ind w:left="1440" w:firstLine="3600"/>
      </w:pPr>
      <w:rPr>
        <w:b w:val="0"/>
        <w:i w:val="0"/>
        <w:caps w:val="0"/>
        <w:u w:val="none"/>
      </w:rPr>
    </w:lvl>
    <w:lvl w:ilvl="6">
      <w:start w:val="1"/>
      <w:numFmt w:val="lowerLetter"/>
      <w:lvlText w:val="%7."/>
      <w:lvlJc w:val="left"/>
      <w:pPr>
        <w:tabs>
          <w:tab w:val="num" w:pos="6480"/>
        </w:tabs>
        <w:ind w:left="1440" w:firstLine="4320"/>
      </w:pPr>
      <w:rPr>
        <w:b w:val="0"/>
        <w:i w:val="0"/>
        <w:caps w:val="0"/>
        <w:color w:val="auto"/>
        <w:u w:val="none"/>
      </w:rPr>
    </w:lvl>
    <w:lvl w:ilvl="7">
      <w:start w:val="1"/>
      <w:numFmt w:val="lowerRoman"/>
      <w:lvlText w:val="%8."/>
      <w:lvlJc w:val="left"/>
      <w:pPr>
        <w:tabs>
          <w:tab w:val="num" w:pos="7200"/>
        </w:tabs>
        <w:ind w:left="1440" w:firstLine="5040"/>
      </w:pPr>
      <w:rPr>
        <w:b w:val="0"/>
        <w:i w:val="0"/>
        <w:caps w:val="0"/>
        <w:color w:val="auto"/>
        <w:u w:val="none"/>
      </w:rPr>
    </w:lvl>
    <w:lvl w:ilvl="8">
      <w:start w:val="1"/>
      <w:numFmt w:val="decimal"/>
      <w:lvlText w:val="%9."/>
      <w:lvlJc w:val="left"/>
      <w:pPr>
        <w:tabs>
          <w:tab w:val="num" w:pos="7920"/>
        </w:tabs>
        <w:ind w:left="1440" w:firstLine="5760"/>
      </w:pPr>
      <w:rPr>
        <w:b w:val="0"/>
        <w:i w:val="0"/>
        <w:caps w:val="0"/>
        <w:color w:val="auto"/>
        <w:u w:val="none"/>
      </w:rPr>
    </w:lvl>
  </w:abstractNum>
  <w:abstractNum w:abstractNumId="18" w15:restartNumberingAfterBreak="0">
    <w:nsid w:val="0EB85393"/>
    <w:multiLevelType w:val="hybridMultilevel"/>
    <w:tmpl w:val="090A184A"/>
    <w:lvl w:ilvl="0" w:tplc="455A04F8">
      <w:start w:val="1"/>
      <w:numFmt w:val="lowerLetter"/>
      <w:pStyle w:val="NummberedA05"/>
      <w:lvlText w:val="%1"/>
      <w:lvlJc w:val="left"/>
      <w:pPr>
        <w:tabs>
          <w:tab w:val="num" w:pos="720"/>
        </w:tabs>
        <w:ind w:left="720" w:hanging="36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0F8520A2"/>
    <w:multiLevelType w:val="hybridMultilevel"/>
    <w:tmpl w:val="27EA87F8"/>
    <w:lvl w:ilvl="0" w:tplc="780263D6">
      <w:start w:val="1"/>
      <w:numFmt w:val="decimal"/>
      <w:pStyle w:val="Quote011"/>
      <w:lvlText w:val="%1."/>
      <w:lvlJc w:val="left"/>
      <w:pPr>
        <w:tabs>
          <w:tab w:val="num" w:pos="1440"/>
        </w:tabs>
        <w:ind w:left="0" w:firstLine="720"/>
      </w:pPr>
      <w:rPr>
        <w:rFonts w:hint="default"/>
      </w:rPr>
    </w:lvl>
    <w:lvl w:ilvl="1" w:tplc="DA322996"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0054BF5"/>
    <w:multiLevelType w:val="hybridMultilevel"/>
    <w:tmpl w:val="442EE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0D91542"/>
    <w:multiLevelType w:val="multilevel"/>
    <w:tmpl w:val="C5F61DDE"/>
    <w:lvl w:ilvl="0">
      <w:start w:val="1"/>
      <w:numFmt w:val="decimal"/>
      <w:pStyle w:val="ArticleL1"/>
      <w:suff w:val="space"/>
      <w:lvlText w:val="Article %1 -"/>
      <w:lvlJc w:val="left"/>
      <w:pPr>
        <w:tabs>
          <w:tab w:val="num" w:pos="1800"/>
        </w:tabs>
        <w:ind w:left="1080" w:firstLine="0"/>
      </w:pPr>
      <w:rPr>
        <w:rFonts w:hint="default"/>
        <w:b/>
        <w:i w:val="0"/>
        <w:caps w:val="0"/>
        <w:u w:val="none"/>
      </w:rPr>
    </w:lvl>
    <w:lvl w:ilvl="1">
      <w:start w:val="1"/>
      <w:numFmt w:val="decimal"/>
      <w:pStyle w:val="ArticleL2"/>
      <w:isLgl/>
      <w:lvlText w:val="%1.%2"/>
      <w:lvlJc w:val="left"/>
      <w:pPr>
        <w:tabs>
          <w:tab w:val="num" w:pos="1440"/>
        </w:tabs>
        <w:ind w:left="0" w:firstLine="720"/>
      </w:pPr>
      <w:rPr>
        <w:b w:val="0"/>
        <w:i w:val="0"/>
        <w:caps w:val="0"/>
        <w:u w:val="none"/>
      </w:rPr>
    </w:lvl>
    <w:lvl w:ilvl="2">
      <w:start w:val="1"/>
      <w:numFmt w:val="upperLetter"/>
      <w:pStyle w:val="ArticleL3"/>
      <w:lvlText w:val="(%3)"/>
      <w:lvlJc w:val="right"/>
      <w:pPr>
        <w:tabs>
          <w:tab w:val="num" w:pos="2020"/>
        </w:tabs>
        <w:ind w:left="0" w:firstLine="1440"/>
      </w:pPr>
      <w:rPr>
        <w:b w:val="0"/>
        <w:i w:val="0"/>
        <w:caps w:val="0"/>
        <w:u w:val="none"/>
        <w:vertAlign w:val="baseline"/>
      </w:rPr>
    </w:lvl>
    <w:lvl w:ilvl="3">
      <w:start w:val="1"/>
      <w:numFmt w:val="decimal"/>
      <w:pStyle w:val="ArticleL4"/>
      <w:lvlText w:val="%4."/>
      <w:lvlJc w:val="left"/>
      <w:pPr>
        <w:tabs>
          <w:tab w:val="num" w:pos="2880"/>
        </w:tabs>
        <w:ind w:left="0" w:firstLine="2160"/>
      </w:pPr>
      <w:rPr>
        <w:u w:val="none"/>
      </w:rPr>
    </w:lvl>
    <w:lvl w:ilvl="4">
      <w:start w:val="1"/>
      <w:numFmt w:val="lowerLetter"/>
      <w:pStyle w:val="ArticleL5"/>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pStyle w:val="ArticleL6"/>
      <w:lvlText w:val="%6."/>
      <w:lvlJc w:val="right"/>
      <w:pPr>
        <w:tabs>
          <w:tab w:val="num" w:pos="4320"/>
        </w:tabs>
        <w:ind w:left="1440" w:firstLine="3600"/>
      </w:pPr>
    </w:lvl>
    <w:lvl w:ilvl="6">
      <w:start w:val="1"/>
      <w:numFmt w:val="decimal"/>
      <w:pStyle w:val="ArticleL7"/>
      <w:lvlText w:val="%7."/>
      <w:lvlJc w:val="left"/>
      <w:pPr>
        <w:tabs>
          <w:tab w:val="num" w:pos="5040"/>
        </w:tabs>
        <w:ind w:left="1440" w:firstLine="4320"/>
      </w:pPr>
    </w:lvl>
    <w:lvl w:ilvl="7">
      <w:start w:val="1"/>
      <w:numFmt w:val="lowerLetter"/>
      <w:pStyle w:val="ArticleL8"/>
      <w:lvlText w:val="(%8)"/>
      <w:lvlJc w:val="left"/>
      <w:pPr>
        <w:ind w:left="8376" w:hanging="1896"/>
      </w:pPr>
      <w:rPr>
        <w:rFonts w:hint="default"/>
      </w:rPr>
    </w:lvl>
    <w:lvl w:ilvl="8" w:tentative="1">
      <w:start w:val="1"/>
      <w:numFmt w:val="lowerRoman"/>
      <w:pStyle w:val="ArticleL9"/>
      <w:lvlText w:val="%9."/>
      <w:lvlJc w:val="right"/>
      <w:pPr>
        <w:tabs>
          <w:tab w:val="num" w:pos="6480"/>
        </w:tabs>
        <w:ind w:left="1440" w:firstLine="5760"/>
      </w:pPr>
    </w:lvl>
  </w:abstractNum>
  <w:abstractNum w:abstractNumId="22" w15:restartNumberingAfterBreak="0">
    <w:nsid w:val="13F96298"/>
    <w:multiLevelType w:val="hybridMultilevel"/>
    <w:tmpl w:val="53AC69B4"/>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16AE42A6"/>
    <w:multiLevelType w:val="hybridMultilevel"/>
    <w:tmpl w:val="153E4636"/>
    <w:lvl w:ilvl="0" w:tplc="0409001B">
      <w:start w:val="1"/>
      <w:numFmt w:val="lowerRoman"/>
      <w:lvlText w:val="%1."/>
      <w:lvlJc w:val="right"/>
      <w:pPr>
        <w:ind w:left="3600" w:hanging="360"/>
      </w:pPr>
    </w:lvl>
    <w:lvl w:ilvl="1" w:tplc="04090019">
      <w:start w:val="1"/>
      <w:numFmt w:val="lowerLetter"/>
      <w:lvlText w:val="%2."/>
      <w:lvlJc w:val="left"/>
      <w:pPr>
        <w:ind w:left="4320" w:hanging="360"/>
      </w:pPr>
    </w:lvl>
    <w:lvl w:ilvl="2" w:tplc="0409001B">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4" w15:restartNumberingAfterBreak="0">
    <w:nsid w:val="1E15496D"/>
    <w:multiLevelType w:val="hybridMultilevel"/>
    <w:tmpl w:val="CB94A7B8"/>
    <w:lvl w:ilvl="0" w:tplc="CAEE9762">
      <w:start w:val="1"/>
      <w:numFmt w:val="decimal"/>
      <w:lvlText w:val="%1."/>
      <w:lvlJc w:val="left"/>
      <w:pPr>
        <w:ind w:left="72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0E36462"/>
    <w:multiLevelType w:val="hybridMultilevel"/>
    <w:tmpl w:val="9364C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2E561C3"/>
    <w:multiLevelType w:val="hybridMultilevel"/>
    <w:tmpl w:val="0B924966"/>
    <w:lvl w:ilvl="0" w:tplc="4CE2F124">
      <w:start w:val="1"/>
      <w:numFmt w:val="lowerRoman"/>
      <w:lvlText w:val="(%1)"/>
      <w:lvlJc w:val="left"/>
      <w:pPr>
        <w:ind w:left="1800" w:hanging="360"/>
      </w:pPr>
      <w:rPr>
        <w:rFonts w:ascii="Arial" w:hAnsi="Arial" w:cs="Arial" w:hint="default"/>
        <w:b w:val="0"/>
        <w:i w:val="0"/>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23122934"/>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239C52D1"/>
    <w:multiLevelType w:val="hybridMultilevel"/>
    <w:tmpl w:val="50321E02"/>
    <w:name w:val="zzmpLegal2||Legal2|2|3|1|1|0|9||1|0|1||1|0|1||1|0|1||1|0|0||1|0|0||1|0|0||1|0|0||1|0|0||"/>
    <w:lvl w:ilvl="0" w:tplc="E864EFDE">
      <w:start w:val="1"/>
      <w:numFmt w:val="bullet"/>
      <w:lvlText w:val=""/>
      <w:lvlJc w:val="left"/>
      <w:pPr>
        <w:ind w:left="720" w:hanging="360"/>
      </w:pPr>
      <w:rPr>
        <w:rFonts w:ascii="Symbol" w:hAnsi="Symbol" w:hint="default"/>
      </w:rPr>
    </w:lvl>
    <w:lvl w:ilvl="1" w:tplc="C0142F3C" w:tentative="1">
      <w:start w:val="1"/>
      <w:numFmt w:val="bullet"/>
      <w:lvlText w:val="o"/>
      <w:lvlJc w:val="left"/>
      <w:pPr>
        <w:ind w:left="1440" w:hanging="360"/>
      </w:pPr>
      <w:rPr>
        <w:rFonts w:ascii="Courier New" w:hAnsi="Courier New" w:cs="Courier New" w:hint="default"/>
      </w:rPr>
    </w:lvl>
    <w:lvl w:ilvl="2" w:tplc="9AF88D98" w:tentative="1">
      <w:start w:val="1"/>
      <w:numFmt w:val="bullet"/>
      <w:lvlText w:val=""/>
      <w:lvlJc w:val="left"/>
      <w:pPr>
        <w:ind w:left="2160" w:hanging="360"/>
      </w:pPr>
      <w:rPr>
        <w:rFonts w:ascii="Wingdings" w:hAnsi="Wingdings" w:hint="default"/>
      </w:rPr>
    </w:lvl>
    <w:lvl w:ilvl="3" w:tplc="806C54D6" w:tentative="1">
      <w:start w:val="1"/>
      <w:numFmt w:val="bullet"/>
      <w:lvlText w:val=""/>
      <w:lvlJc w:val="left"/>
      <w:pPr>
        <w:ind w:left="2880" w:hanging="360"/>
      </w:pPr>
      <w:rPr>
        <w:rFonts w:ascii="Symbol" w:hAnsi="Symbol" w:hint="default"/>
      </w:rPr>
    </w:lvl>
    <w:lvl w:ilvl="4" w:tplc="11F670D2" w:tentative="1">
      <w:start w:val="1"/>
      <w:numFmt w:val="bullet"/>
      <w:lvlText w:val="o"/>
      <w:lvlJc w:val="left"/>
      <w:pPr>
        <w:ind w:left="3600" w:hanging="360"/>
      </w:pPr>
      <w:rPr>
        <w:rFonts w:ascii="Courier New" w:hAnsi="Courier New" w:cs="Courier New" w:hint="default"/>
      </w:rPr>
    </w:lvl>
    <w:lvl w:ilvl="5" w:tplc="C55A85E6" w:tentative="1">
      <w:start w:val="1"/>
      <w:numFmt w:val="bullet"/>
      <w:lvlText w:val=""/>
      <w:lvlJc w:val="left"/>
      <w:pPr>
        <w:ind w:left="4320" w:hanging="360"/>
      </w:pPr>
      <w:rPr>
        <w:rFonts w:ascii="Wingdings" w:hAnsi="Wingdings" w:hint="default"/>
      </w:rPr>
    </w:lvl>
    <w:lvl w:ilvl="6" w:tplc="2D58DEFE" w:tentative="1">
      <w:start w:val="1"/>
      <w:numFmt w:val="bullet"/>
      <w:lvlText w:val=""/>
      <w:lvlJc w:val="left"/>
      <w:pPr>
        <w:ind w:left="5040" w:hanging="360"/>
      </w:pPr>
      <w:rPr>
        <w:rFonts w:ascii="Symbol" w:hAnsi="Symbol" w:hint="default"/>
      </w:rPr>
    </w:lvl>
    <w:lvl w:ilvl="7" w:tplc="5D46C20C" w:tentative="1">
      <w:start w:val="1"/>
      <w:numFmt w:val="bullet"/>
      <w:lvlText w:val="o"/>
      <w:lvlJc w:val="left"/>
      <w:pPr>
        <w:ind w:left="5760" w:hanging="360"/>
      </w:pPr>
      <w:rPr>
        <w:rFonts w:ascii="Courier New" w:hAnsi="Courier New" w:cs="Courier New" w:hint="default"/>
      </w:rPr>
    </w:lvl>
    <w:lvl w:ilvl="8" w:tplc="F4920836" w:tentative="1">
      <w:start w:val="1"/>
      <w:numFmt w:val="bullet"/>
      <w:lvlText w:val=""/>
      <w:lvlJc w:val="left"/>
      <w:pPr>
        <w:ind w:left="6480" w:hanging="360"/>
      </w:pPr>
      <w:rPr>
        <w:rFonts w:ascii="Wingdings" w:hAnsi="Wingdings" w:hint="default"/>
      </w:rPr>
    </w:lvl>
  </w:abstractNum>
  <w:abstractNum w:abstractNumId="29" w15:restartNumberingAfterBreak="0">
    <w:nsid w:val="23E13537"/>
    <w:multiLevelType w:val="hybridMultilevel"/>
    <w:tmpl w:val="D6702A6E"/>
    <w:lvl w:ilvl="0" w:tplc="371A3BE4">
      <w:start w:val="1"/>
      <w:numFmt w:val="lowerRoman"/>
      <w:lvlText w:val="(%1)"/>
      <w:lvlJc w:val="left"/>
      <w:pPr>
        <w:ind w:left="1800" w:hanging="360"/>
      </w:pPr>
      <w:rPr>
        <w:rFonts w:ascii="Arial" w:hAnsi="Arial" w:cs="Arial" w:hint="default"/>
        <w:b w:val="0"/>
        <w:i w:val="0"/>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24B26FBA"/>
    <w:multiLevelType w:val="hybridMultilevel"/>
    <w:tmpl w:val="1DD62552"/>
    <w:lvl w:ilvl="0" w:tplc="4FD867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52C489E"/>
    <w:multiLevelType w:val="hybridMultilevel"/>
    <w:tmpl w:val="3F8EB3DC"/>
    <w:lvl w:ilvl="0" w:tplc="04090015">
      <w:start w:val="1"/>
      <w:numFmt w:val="upp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2AF815B7"/>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B673DC1"/>
    <w:multiLevelType w:val="hybridMultilevel"/>
    <w:tmpl w:val="FF527BA2"/>
    <w:lvl w:ilvl="0" w:tplc="04090001">
      <w:start w:val="1"/>
      <w:numFmt w:val="lowerLetter"/>
      <w:lvlText w:val="%1."/>
      <w:lvlJc w:val="left"/>
      <w:pPr>
        <w:ind w:left="1080" w:hanging="360"/>
      </w:pPr>
      <w:rPr>
        <w:rFonts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34" w15:restartNumberingAfterBreak="0">
    <w:nsid w:val="2B8E313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2D4F60CE"/>
    <w:multiLevelType w:val="hybridMultilevel"/>
    <w:tmpl w:val="0C686CE2"/>
    <w:name w:val="Articles4222223222224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39AA63D0"/>
    <w:multiLevelType w:val="hybridMultilevel"/>
    <w:tmpl w:val="3CCE3AE2"/>
    <w:lvl w:ilvl="0" w:tplc="170A243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CBF2650"/>
    <w:multiLevelType w:val="multilevel"/>
    <w:tmpl w:val="86C82608"/>
    <w:lvl w:ilvl="0">
      <w:start w:val="1"/>
      <w:numFmt w:val="decimal"/>
      <w:pStyle w:val="StandardL1"/>
      <w:suff w:val="space"/>
      <w:lvlText w:val="Article %1 -"/>
      <w:lvlJc w:val="left"/>
      <w:pPr>
        <w:tabs>
          <w:tab w:val="num" w:pos="720"/>
        </w:tabs>
        <w:ind w:left="0" w:firstLine="0"/>
      </w:pPr>
      <w:rPr>
        <w:b/>
        <w:i w:val="0"/>
        <w:caps w:val="0"/>
        <w:smallCaps w:val="0"/>
        <w:u w:val="none"/>
      </w:rPr>
    </w:lvl>
    <w:lvl w:ilvl="1">
      <w:start w:val="1"/>
      <w:numFmt w:val="decimal"/>
      <w:pStyle w:val="StandardL2"/>
      <w:lvlText w:val="%1.%2"/>
      <w:lvlJc w:val="left"/>
      <w:pPr>
        <w:tabs>
          <w:tab w:val="num" w:pos="1440"/>
        </w:tabs>
        <w:ind w:left="0" w:firstLine="720"/>
      </w:pPr>
      <w:rPr>
        <w:b w:val="0"/>
        <w:i w:val="0"/>
        <w:caps w:val="0"/>
        <w:smallCaps w:val="0"/>
        <w:u w:val="none"/>
      </w:rPr>
    </w:lvl>
    <w:lvl w:ilvl="2">
      <w:start w:val="1"/>
      <w:numFmt w:val="upperLetter"/>
      <w:pStyle w:val="StandardL3"/>
      <w:lvlText w:val="(%3)"/>
      <w:lvlJc w:val="left"/>
      <w:pPr>
        <w:tabs>
          <w:tab w:val="num" w:pos="2160"/>
        </w:tabs>
        <w:ind w:left="0" w:firstLine="1440"/>
      </w:pPr>
    </w:lvl>
    <w:lvl w:ilvl="3">
      <w:start w:val="1"/>
      <w:numFmt w:val="decimal"/>
      <w:pStyle w:val="StandardL4"/>
      <w:lvlText w:val="(%4)"/>
      <w:lvlJc w:val="left"/>
      <w:pPr>
        <w:tabs>
          <w:tab w:val="num" w:pos="2880"/>
        </w:tabs>
        <w:ind w:left="0" w:firstLine="2160"/>
      </w:pPr>
      <w:rPr>
        <w:b w:val="0"/>
        <w:i w:val="0"/>
        <w:caps w:val="0"/>
        <w:smallCaps w:val="0"/>
        <w:u w:val="none"/>
      </w:rPr>
    </w:lvl>
    <w:lvl w:ilvl="4">
      <w:start w:val="1"/>
      <w:numFmt w:val="lowerRoman"/>
      <w:pStyle w:val="StandardL5"/>
      <w:lvlText w:val="(%5)"/>
      <w:lvlJc w:val="left"/>
      <w:pPr>
        <w:tabs>
          <w:tab w:val="num" w:pos="3600"/>
        </w:tabs>
        <w:ind w:left="0" w:firstLine="2880"/>
      </w:pPr>
      <w:rPr>
        <w:b w:val="0"/>
        <w:i w:val="0"/>
        <w:caps w:val="0"/>
        <w:smallCaps w:val="0"/>
        <w:u w:val="none"/>
      </w:rPr>
    </w:lvl>
    <w:lvl w:ilvl="5">
      <w:start w:val="1"/>
      <w:numFmt w:val="lowerRoman"/>
      <w:pStyle w:val="StandardL6"/>
      <w:lvlText w:val="%6."/>
      <w:lvlJc w:val="left"/>
      <w:pPr>
        <w:tabs>
          <w:tab w:val="num" w:pos="4320"/>
        </w:tabs>
        <w:ind w:left="0" w:firstLine="3600"/>
      </w:pPr>
      <w:rPr>
        <w:b w:val="0"/>
        <w:i w:val="0"/>
        <w:caps w:val="0"/>
        <w:smallCaps w:val="0"/>
        <w:u w:val="none"/>
      </w:rPr>
    </w:lvl>
    <w:lvl w:ilvl="6">
      <w:start w:val="1"/>
      <w:numFmt w:val="decimal"/>
      <w:pStyle w:val="StandardL7"/>
      <w:lvlText w:val="%7)"/>
      <w:lvlJc w:val="left"/>
      <w:pPr>
        <w:tabs>
          <w:tab w:val="num" w:pos="5040"/>
        </w:tabs>
        <w:ind w:left="0" w:firstLine="4320"/>
      </w:pPr>
      <w:rPr>
        <w:b w:val="0"/>
        <w:i w:val="0"/>
        <w:caps w:val="0"/>
        <w:smallCaps w:val="0"/>
        <w:u w:val="none"/>
      </w:rPr>
    </w:lvl>
    <w:lvl w:ilvl="7">
      <w:start w:val="1"/>
      <w:numFmt w:val="lowerLetter"/>
      <w:pStyle w:val="StandardL8"/>
      <w:lvlText w:val="%8)"/>
      <w:lvlJc w:val="left"/>
      <w:pPr>
        <w:tabs>
          <w:tab w:val="num" w:pos="5760"/>
        </w:tabs>
        <w:ind w:left="0" w:firstLine="5040"/>
      </w:pPr>
      <w:rPr>
        <w:b w:val="0"/>
        <w:i w:val="0"/>
        <w:caps w:val="0"/>
        <w:smallCaps w:val="0"/>
        <w:u w:val="none"/>
      </w:rPr>
    </w:lvl>
    <w:lvl w:ilvl="8">
      <w:start w:val="1"/>
      <w:numFmt w:val="lowerRoman"/>
      <w:pStyle w:val="StandardL9"/>
      <w:lvlText w:val="%9)"/>
      <w:lvlJc w:val="left"/>
      <w:pPr>
        <w:tabs>
          <w:tab w:val="num" w:pos="6480"/>
        </w:tabs>
        <w:ind w:left="0" w:firstLine="5760"/>
      </w:pPr>
      <w:rPr>
        <w:b w:val="0"/>
        <w:i w:val="0"/>
        <w:caps w:val="0"/>
        <w:smallCaps w:val="0"/>
        <w:u w:val="none"/>
      </w:rPr>
    </w:lvl>
  </w:abstractNum>
  <w:abstractNum w:abstractNumId="38" w15:restartNumberingAfterBreak="0">
    <w:nsid w:val="3D3608E2"/>
    <w:multiLevelType w:val="multilevel"/>
    <w:tmpl w:val="0409001D"/>
    <w:name w:val="zzmpStandard||Standard|2|3|1|2|10|1||1|2|4||1|2|0||1|2|0||1|2|0||1|12|0||1|12|0||1|12|0||1|12|0||"/>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9" w15:restartNumberingAfterBreak="0">
    <w:nsid w:val="3D9E2096"/>
    <w:multiLevelType w:val="multilevel"/>
    <w:tmpl w:val="F8CEC030"/>
    <w:lvl w:ilvl="0">
      <w:start w:val="1"/>
      <w:numFmt w:val="upperRoman"/>
      <w:pStyle w:val="Tax1L1"/>
      <w:suff w:val="nothing"/>
      <w:lvlText w:val="ARTICLE %1"/>
      <w:lvlJc w:val="left"/>
      <w:pPr>
        <w:ind w:left="0" w:firstLine="0"/>
      </w:pPr>
      <w:rPr>
        <w:b/>
        <w:i w:val="0"/>
        <w:caps/>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ax1L2"/>
      <w:isLgl/>
      <w:lvlText w:val="%1.%2"/>
      <w:lvlJc w:val="left"/>
      <w:pPr>
        <w:tabs>
          <w:tab w:val="num" w:pos="2280"/>
        </w:tabs>
        <w:ind w:left="120" w:firstLine="144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Tax1L3"/>
      <w:lvlText w:val="(%3)"/>
      <w:lvlJc w:val="left"/>
      <w:pPr>
        <w:tabs>
          <w:tab w:val="num" w:pos="1920"/>
        </w:tabs>
        <w:ind w:left="120" w:firstLine="1440"/>
      </w:pPr>
      <w:rPr>
        <w:b w:val="0"/>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Tax1L4"/>
      <w:lvlText w:val="(%4)"/>
      <w:lvlJc w:val="left"/>
      <w:pPr>
        <w:tabs>
          <w:tab w:val="num" w:pos="2880"/>
        </w:tabs>
        <w:ind w:left="1440" w:firstLine="720"/>
      </w:pPr>
      <w:rPr>
        <w:b/>
        <w:i w:val="0"/>
        <w: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ax1L5"/>
      <w:lvlText w:val="(%5)"/>
      <w:lvlJc w:val="left"/>
      <w:pPr>
        <w:tabs>
          <w:tab w:val="num" w:pos="2880"/>
        </w:tabs>
        <w:ind w:left="216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Tax1L6"/>
      <w:lvlText w:val="(%6)"/>
      <w:lvlJc w:val="left"/>
      <w:pPr>
        <w:tabs>
          <w:tab w:val="num" w:pos="3600"/>
        </w:tabs>
        <w:ind w:left="2880" w:firstLine="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0" w15:restartNumberingAfterBreak="0">
    <w:nsid w:val="3F247F0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40912EEC"/>
    <w:multiLevelType w:val="multilevel"/>
    <w:tmpl w:val="9C92FF82"/>
    <w:styleLink w:val="Headings"/>
    <w:lvl w:ilvl="0">
      <w:start w:val="1"/>
      <w:numFmt w:val="decimal"/>
      <w:lvlText w:val="ARTICLE %1."/>
      <w:lvlJc w:val="left"/>
      <w:pPr>
        <w:ind w:left="1728" w:hanging="1728"/>
      </w:pPr>
      <w:rPr>
        <w:rFonts w:hint="default"/>
      </w:rPr>
    </w:lvl>
    <w:lvl w:ilvl="1">
      <w:start w:val="1"/>
      <w:numFmt w:val="decimalZero"/>
      <w:lvlText w:val="%1.%2"/>
      <w:lvlJc w:val="left"/>
      <w:pPr>
        <w:ind w:left="864" w:hanging="864"/>
      </w:pPr>
      <w:rPr>
        <w:rFonts w:hint="default"/>
      </w:rPr>
    </w:lvl>
    <w:lvl w:ilvl="2">
      <w:start w:val="1"/>
      <w:numFmt w:val="lowerLetter"/>
      <w:lvlText w:val="(%3)"/>
      <w:lvlJc w:val="left"/>
      <w:pPr>
        <w:ind w:left="1728" w:hanging="864"/>
      </w:pPr>
      <w:rPr>
        <w:rFonts w:hint="default"/>
      </w:rPr>
    </w:lvl>
    <w:lvl w:ilvl="3">
      <w:start w:val="1"/>
      <w:numFmt w:val="lowerRoman"/>
      <w:lvlText w:val="(%4)"/>
      <w:lvlJc w:val="left"/>
      <w:pPr>
        <w:ind w:left="2592" w:hanging="864"/>
      </w:pPr>
      <w:rPr>
        <w:rFonts w:hint="default"/>
      </w:rPr>
    </w:lvl>
    <w:lvl w:ilvl="4">
      <w:start w:val="1"/>
      <w:numFmt w:val="upperLetter"/>
      <w:lvlText w:val="(%5)"/>
      <w:lvlJc w:val="left"/>
      <w:pPr>
        <w:ind w:left="3456" w:hanging="864"/>
      </w:pPr>
      <w:rPr>
        <w:rFonts w:hint="default"/>
      </w:rPr>
    </w:lvl>
    <w:lvl w:ilvl="5">
      <w:start w:val="1"/>
      <w:numFmt w:val="none"/>
      <w:lvlText w:val=""/>
      <w:lvlJc w:val="left"/>
      <w:pPr>
        <w:ind w:left="4320" w:hanging="864"/>
      </w:pPr>
      <w:rPr>
        <w:rFonts w:hint="default"/>
      </w:rPr>
    </w:lvl>
    <w:lvl w:ilvl="6">
      <w:start w:val="1"/>
      <w:numFmt w:val="decimal"/>
      <w:lvlText w:val="%7."/>
      <w:lvlJc w:val="left"/>
      <w:pPr>
        <w:ind w:left="6048" w:hanging="864"/>
      </w:pPr>
      <w:rPr>
        <w:rFonts w:hint="default"/>
      </w:rPr>
    </w:lvl>
    <w:lvl w:ilvl="7">
      <w:start w:val="1"/>
      <w:numFmt w:val="lowerLetter"/>
      <w:lvlText w:val="%8."/>
      <w:lvlJc w:val="left"/>
      <w:pPr>
        <w:ind w:left="6912" w:hanging="864"/>
      </w:pPr>
      <w:rPr>
        <w:rFonts w:hint="default"/>
      </w:rPr>
    </w:lvl>
    <w:lvl w:ilvl="8">
      <w:start w:val="1"/>
      <w:numFmt w:val="lowerRoman"/>
      <w:lvlText w:val="%9."/>
      <w:lvlJc w:val="left"/>
      <w:pPr>
        <w:ind w:left="7776" w:hanging="864"/>
      </w:pPr>
      <w:rPr>
        <w:rFonts w:hint="default"/>
      </w:rPr>
    </w:lvl>
  </w:abstractNum>
  <w:abstractNum w:abstractNumId="42" w15:restartNumberingAfterBreak="0">
    <w:nsid w:val="414A6789"/>
    <w:multiLevelType w:val="hybridMultilevel"/>
    <w:tmpl w:val="4AECA926"/>
    <w:lvl w:ilvl="0" w:tplc="F3C20744">
      <w:start w:val="1"/>
      <w:numFmt w:val="decimal"/>
      <w:lvlText w:val="%1."/>
      <w:lvlJc w:val="left"/>
      <w:pPr>
        <w:ind w:left="720" w:hanging="360"/>
      </w:pPr>
      <w:rPr>
        <w:rFonts w:hint="default"/>
      </w:rPr>
    </w:lvl>
    <w:lvl w:ilvl="1" w:tplc="3EFEFC96" w:tentative="1">
      <w:start w:val="1"/>
      <w:numFmt w:val="lowerLetter"/>
      <w:lvlText w:val="%2."/>
      <w:lvlJc w:val="left"/>
      <w:pPr>
        <w:ind w:left="1440" w:hanging="360"/>
      </w:pPr>
    </w:lvl>
    <w:lvl w:ilvl="2" w:tplc="983A96CC" w:tentative="1">
      <w:start w:val="1"/>
      <w:numFmt w:val="lowerRoman"/>
      <w:lvlText w:val="%3."/>
      <w:lvlJc w:val="right"/>
      <w:pPr>
        <w:ind w:left="2160" w:hanging="180"/>
      </w:pPr>
    </w:lvl>
    <w:lvl w:ilvl="3" w:tplc="90DA90B0" w:tentative="1">
      <w:start w:val="1"/>
      <w:numFmt w:val="decimal"/>
      <w:lvlText w:val="%4."/>
      <w:lvlJc w:val="left"/>
      <w:pPr>
        <w:ind w:left="2880" w:hanging="360"/>
      </w:pPr>
    </w:lvl>
    <w:lvl w:ilvl="4" w:tplc="1A6AB368" w:tentative="1">
      <w:start w:val="1"/>
      <w:numFmt w:val="lowerLetter"/>
      <w:lvlText w:val="%5."/>
      <w:lvlJc w:val="left"/>
      <w:pPr>
        <w:ind w:left="3600" w:hanging="360"/>
      </w:pPr>
    </w:lvl>
    <w:lvl w:ilvl="5" w:tplc="0C3A63CC" w:tentative="1">
      <w:start w:val="1"/>
      <w:numFmt w:val="lowerRoman"/>
      <w:lvlText w:val="%6."/>
      <w:lvlJc w:val="right"/>
      <w:pPr>
        <w:ind w:left="4320" w:hanging="180"/>
      </w:pPr>
    </w:lvl>
    <w:lvl w:ilvl="6" w:tplc="07F6AF54" w:tentative="1">
      <w:start w:val="1"/>
      <w:numFmt w:val="decimal"/>
      <w:lvlText w:val="%7."/>
      <w:lvlJc w:val="left"/>
      <w:pPr>
        <w:ind w:left="5040" w:hanging="360"/>
      </w:pPr>
    </w:lvl>
    <w:lvl w:ilvl="7" w:tplc="CA42DD32" w:tentative="1">
      <w:start w:val="1"/>
      <w:numFmt w:val="lowerLetter"/>
      <w:lvlText w:val="%8."/>
      <w:lvlJc w:val="left"/>
      <w:pPr>
        <w:ind w:left="5760" w:hanging="360"/>
      </w:pPr>
    </w:lvl>
    <w:lvl w:ilvl="8" w:tplc="477490FA" w:tentative="1">
      <w:start w:val="1"/>
      <w:numFmt w:val="lowerRoman"/>
      <w:lvlText w:val="%9."/>
      <w:lvlJc w:val="right"/>
      <w:pPr>
        <w:ind w:left="6480" w:hanging="180"/>
      </w:pPr>
    </w:lvl>
  </w:abstractNum>
  <w:abstractNum w:abstractNumId="43" w15:restartNumberingAfterBreak="0">
    <w:nsid w:val="41C5600E"/>
    <w:multiLevelType w:val="hybridMultilevel"/>
    <w:tmpl w:val="91E6B6F4"/>
    <w:lvl w:ilvl="0" w:tplc="0409000F">
      <w:start w:val="1"/>
      <w:numFmt w:val="lowerLetter"/>
      <w:pStyle w:val="BulletListIndent5NoPt"/>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4" w15:restartNumberingAfterBreak="0">
    <w:nsid w:val="42E4588E"/>
    <w:multiLevelType w:val="hybridMultilevel"/>
    <w:tmpl w:val="1018AE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3001422"/>
    <w:multiLevelType w:val="hybridMultilevel"/>
    <w:tmpl w:val="CCCEA5FC"/>
    <w:name w:val="Articles222222222222"/>
    <w:lvl w:ilvl="0" w:tplc="CA6AD144">
      <w:start w:val="1"/>
      <w:numFmt w:val="lowerLetter"/>
      <w:lvlText w:val="(%1)"/>
      <w:lvlJc w:val="left"/>
      <w:pPr>
        <w:ind w:left="1260" w:hanging="360"/>
      </w:pPr>
      <w:rPr>
        <w:rFonts w:hint="default"/>
        <w:b w:val="0"/>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6" w15:restartNumberingAfterBreak="0">
    <w:nsid w:val="431B15AA"/>
    <w:multiLevelType w:val="hybridMultilevel"/>
    <w:tmpl w:val="937A2776"/>
    <w:lvl w:ilvl="0" w:tplc="4F84DEB0">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48B171FB"/>
    <w:multiLevelType w:val="hybridMultilevel"/>
    <w:tmpl w:val="04AA4372"/>
    <w:lvl w:ilvl="0" w:tplc="04090001">
      <w:start w:val="1"/>
      <w:numFmt w:val="bullet"/>
      <w:lvlText w:val=""/>
      <w:lvlJc w:val="left"/>
      <w:pPr>
        <w:ind w:left="2947" w:hanging="360"/>
      </w:pPr>
      <w:rPr>
        <w:rFonts w:ascii="Symbol" w:hAnsi="Symbol" w:hint="default"/>
      </w:rPr>
    </w:lvl>
    <w:lvl w:ilvl="1" w:tplc="04090003" w:tentative="1">
      <w:start w:val="1"/>
      <w:numFmt w:val="bullet"/>
      <w:lvlText w:val="o"/>
      <w:lvlJc w:val="left"/>
      <w:pPr>
        <w:ind w:left="3667" w:hanging="360"/>
      </w:pPr>
      <w:rPr>
        <w:rFonts w:ascii="Courier New" w:hAnsi="Courier New" w:cs="Courier New" w:hint="default"/>
      </w:rPr>
    </w:lvl>
    <w:lvl w:ilvl="2" w:tplc="04090005" w:tentative="1">
      <w:start w:val="1"/>
      <w:numFmt w:val="bullet"/>
      <w:lvlText w:val=""/>
      <w:lvlJc w:val="left"/>
      <w:pPr>
        <w:ind w:left="4387" w:hanging="360"/>
      </w:pPr>
      <w:rPr>
        <w:rFonts w:ascii="Wingdings" w:hAnsi="Wingdings" w:hint="default"/>
      </w:rPr>
    </w:lvl>
    <w:lvl w:ilvl="3" w:tplc="04090001" w:tentative="1">
      <w:start w:val="1"/>
      <w:numFmt w:val="bullet"/>
      <w:lvlText w:val=""/>
      <w:lvlJc w:val="left"/>
      <w:pPr>
        <w:ind w:left="5107" w:hanging="360"/>
      </w:pPr>
      <w:rPr>
        <w:rFonts w:ascii="Symbol" w:hAnsi="Symbol" w:hint="default"/>
      </w:rPr>
    </w:lvl>
    <w:lvl w:ilvl="4" w:tplc="04090003" w:tentative="1">
      <w:start w:val="1"/>
      <w:numFmt w:val="bullet"/>
      <w:lvlText w:val="o"/>
      <w:lvlJc w:val="left"/>
      <w:pPr>
        <w:ind w:left="5827" w:hanging="360"/>
      </w:pPr>
      <w:rPr>
        <w:rFonts w:ascii="Courier New" w:hAnsi="Courier New" w:cs="Courier New" w:hint="default"/>
      </w:rPr>
    </w:lvl>
    <w:lvl w:ilvl="5" w:tplc="04090005" w:tentative="1">
      <w:start w:val="1"/>
      <w:numFmt w:val="bullet"/>
      <w:lvlText w:val=""/>
      <w:lvlJc w:val="left"/>
      <w:pPr>
        <w:ind w:left="6547" w:hanging="360"/>
      </w:pPr>
      <w:rPr>
        <w:rFonts w:ascii="Wingdings" w:hAnsi="Wingdings" w:hint="default"/>
      </w:rPr>
    </w:lvl>
    <w:lvl w:ilvl="6" w:tplc="04090001" w:tentative="1">
      <w:start w:val="1"/>
      <w:numFmt w:val="bullet"/>
      <w:lvlText w:val=""/>
      <w:lvlJc w:val="left"/>
      <w:pPr>
        <w:ind w:left="7267" w:hanging="360"/>
      </w:pPr>
      <w:rPr>
        <w:rFonts w:ascii="Symbol" w:hAnsi="Symbol" w:hint="default"/>
      </w:rPr>
    </w:lvl>
    <w:lvl w:ilvl="7" w:tplc="04090003" w:tentative="1">
      <w:start w:val="1"/>
      <w:numFmt w:val="bullet"/>
      <w:lvlText w:val="o"/>
      <w:lvlJc w:val="left"/>
      <w:pPr>
        <w:ind w:left="7987" w:hanging="360"/>
      </w:pPr>
      <w:rPr>
        <w:rFonts w:ascii="Courier New" w:hAnsi="Courier New" w:cs="Courier New" w:hint="default"/>
      </w:rPr>
    </w:lvl>
    <w:lvl w:ilvl="8" w:tplc="04090005" w:tentative="1">
      <w:start w:val="1"/>
      <w:numFmt w:val="bullet"/>
      <w:lvlText w:val=""/>
      <w:lvlJc w:val="left"/>
      <w:pPr>
        <w:ind w:left="8707" w:hanging="360"/>
      </w:pPr>
      <w:rPr>
        <w:rFonts w:ascii="Wingdings" w:hAnsi="Wingdings" w:hint="default"/>
      </w:rPr>
    </w:lvl>
  </w:abstractNum>
  <w:abstractNum w:abstractNumId="48" w15:restartNumberingAfterBreak="0">
    <w:nsid w:val="52AB2E30"/>
    <w:multiLevelType w:val="hybridMultilevel"/>
    <w:tmpl w:val="26E20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2DA30E2"/>
    <w:multiLevelType w:val="multilevel"/>
    <w:tmpl w:val="95207FB2"/>
    <w:lvl w:ilvl="0">
      <w:start w:val="1"/>
      <w:numFmt w:val="decimal"/>
      <w:lvlText w:val="%1"/>
      <w:lvlJc w:val="left"/>
      <w:pPr>
        <w:tabs>
          <w:tab w:val="num" w:pos="360"/>
        </w:tabs>
        <w:ind w:left="0" w:firstLine="0"/>
      </w:pPr>
    </w:lvl>
    <w:lvl w:ilvl="1">
      <w:start w:val="2"/>
      <w:numFmt w:val="none"/>
      <w:pStyle w:val="Level2"/>
      <w:lvlText w:val="3.2"/>
      <w:lvlJc w:val="left"/>
      <w:pPr>
        <w:tabs>
          <w:tab w:val="num" w:pos="1008"/>
        </w:tabs>
        <w:ind w:left="0" w:firstLine="648"/>
      </w:pPr>
    </w:lvl>
    <w:lvl w:ilvl="2">
      <w:start w:val="1"/>
      <w:numFmt w:val="decimal"/>
      <w:pStyle w:val="Level3"/>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
      <w:lvlJc w:val="left"/>
      <w:pPr>
        <w:tabs>
          <w:tab w:val="num" w:pos="0"/>
        </w:tabs>
        <w:ind w:left="0" w:firstLine="0"/>
      </w:pPr>
    </w:lvl>
  </w:abstractNum>
  <w:abstractNum w:abstractNumId="50" w15:restartNumberingAfterBreak="0">
    <w:nsid w:val="54B15C67"/>
    <w:multiLevelType w:val="hybridMultilevel"/>
    <w:tmpl w:val="39665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6D74BA6"/>
    <w:multiLevelType w:val="multilevel"/>
    <w:tmpl w:val="E4BED2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573250DC"/>
    <w:multiLevelType w:val="hybridMultilevel"/>
    <w:tmpl w:val="44EEF4A4"/>
    <w:lvl w:ilvl="0" w:tplc="59A6B02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9A55BBA"/>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5AAF38AE"/>
    <w:multiLevelType w:val="hybridMultilevel"/>
    <w:tmpl w:val="ED66F710"/>
    <w:lvl w:ilvl="0" w:tplc="3DB22306">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5FF74633"/>
    <w:multiLevelType w:val="hybridMultilevel"/>
    <w:tmpl w:val="97089F08"/>
    <w:lvl w:ilvl="0" w:tplc="773A5C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0155FE4"/>
    <w:multiLevelType w:val="hybridMultilevel"/>
    <w:tmpl w:val="1576A9F0"/>
    <w:name w:val="Articles222223"/>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01A0EE9"/>
    <w:multiLevelType w:val="hybridMultilevel"/>
    <w:tmpl w:val="4B3E0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0491CAB"/>
    <w:multiLevelType w:val="hybridMultilevel"/>
    <w:tmpl w:val="13CCEEF6"/>
    <w:lvl w:ilvl="0" w:tplc="AB986ADC">
      <w:start w:val="1"/>
      <w:numFmt w:val="lowerLetter"/>
      <w:pStyle w:val="Numbereed105"/>
      <w:lvlText w:val="%1"/>
      <w:lvlJc w:val="left"/>
      <w:pPr>
        <w:tabs>
          <w:tab w:val="num" w:pos="720"/>
        </w:tabs>
        <w:ind w:left="720" w:hanging="360"/>
      </w:pPr>
      <w:rPr>
        <w:rFonts w:hint="default"/>
      </w:rPr>
    </w:lvl>
    <w:lvl w:ilvl="1" w:tplc="E17E4D3E">
      <w:start w:val="1"/>
      <w:numFmt w:val="decimal"/>
      <w:lvlText w:val="%2."/>
      <w:lvlJc w:val="left"/>
      <w:pPr>
        <w:tabs>
          <w:tab w:val="num" w:pos="1440"/>
        </w:tabs>
        <w:ind w:left="1440" w:hanging="360"/>
      </w:pPr>
      <w:rPr>
        <w:rFonts w:hint="default"/>
      </w:rPr>
    </w:lvl>
    <w:lvl w:ilvl="2" w:tplc="C8760DD6" w:tentative="1">
      <w:start w:val="1"/>
      <w:numFmt w:val="lowerRoman"/>
      <w:lvlText w:val="%3."/>
      <w:lvlJc w:val="right"/>
      <w:pPr>
        <w:tabs>
          <w:tab w:val="num" w:pos="2160"/>
        </w:tabs>
        <w:ind w:left="2160" w:hanging="180"/>
      </w:pPr>
    </w:lvl>
    <w:lvl w:ilvl="3" w:tplc="22FEE77A" w:tentative="1">
      <w:start w:val="1"/>
      <w:numFmt w:val="decimal"/>
      <w:lvlText w:val="%4."/>
      <w:lvlJc w:val="left"/>
      <w:pPr>
        <w:tabs>
          <w:tab w:val="num" w:pos="2880"/>
        </w:tabs>
        <w:ind w:left="2880" w:hanging="360"/>
      </w:pPr>
    </w:lvl>
    <w:lvl w:ilvl="4" w:tplc="C48A83FE" w:tentative="1">
      <w:start w:val="1"/>
      <w:numFmt w:val="lowerLetter"/>
      <w:lvlText w:val="%5."/>
      <w:lvlJc w:val="left"/>
      <w:pPr>
        <w:tabs>
          <w:tab w:val="num" w:pos="3600"/>
        </w:tabs>
        <w:ind w:left="3600" w:hanging="360"/>
      </w:pPr>
    </w:lvl>
    <w:lvl w:ilvl="5" w:tplc="36083DDC" w:tentative="1">
      <w:start w:val="1"/>
      <w:numFmt w:val="lowerRoman"/>
      <w:lvlText w:val="%6."/>
      <w:lvlJc w:val="right"/>
      <w:pPr>
        <w:tabs>
          <w:tab w:val="num" w:pos="4320"/>
        </w:tabs>
        <w:ind w:left="4320" w:hanging="180"/>
      </w:pPr>
    </w:lvl>
    <w:lvl w:ilvl="6" w:tplc="AFF0054C" w:tentative="1">
      <w:start w:val="1"/>
      <w:numFmt w:val="decimal"/>
      <w:lvlText w:val="%7."/>
      <w:lvlJc w:val="left"/>
      <w:pPr>
        <w:tabs>
          <w:tab w:val="num" w:pos="5040"/>
        </w:tabs>
        <w:ind w:left="5040" w:hanging="360"/>
      </w:pPr>
    </w:lvl>
    <w:lvl w:ilvl="7" w:tplc="9B406D3A" w:tentative="1">
      <w:start w:val="1"/>
      <w:numFmt w:val="lowerLetter"/>
      <w:lvlText w:val="%8."/>
      <w:lvlJc w:val="left"/>
      <w:pPr>
        <w:tabs>
          <w:tab w:val="num" w:pos="5760"/>
        </w:tabs>
        <w:ind w:left="5760" w:hanging="360"/>
      </w:pPr>
    </w:lvl>
    <w:lvl w:ilvl="8" w:tplc="D174EE64" w:tentative="1">
      <w:start w:val="1"/>
      <w:numFmt w:val="lowerRoman"/>
      <w:lvlText w:val="%9."/>
      <w:lvlJc w:val="right"/>
      <w:pPr>
        <w:tabs>
          <w:tab w:val="num" w:pos="6480"/>
        </w:tabs>
        <w:ind w:left="6480" w:hanging="180"/>
      </w:pPr>
    </w:lvl>
  </w:abstractNum>
  <w:abstractNum w:abstractNumId="59" w15:restartNumberingAfterBreak="0">
    <w:nsid w:val="62D13CDB"/>
    <w:multiLevelType w:val="hybridMultilevel"/>
    <w:tmpl w:val="B5B45D56"/>
    <w:lvl w:ilvl="0" w:tplc="ACEAF934">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2DE2CB9"/>
    <w:multiLevelType w:val="multilevel"/>
    <w:tmpl w:val="FB34BF98"/>
    <w:lvl w:ilvl="0">
      <w:start w:val="1"/>
      <w:numFmt w:val="decimal"/>
      <w:suff w:val="space"/>
      <w:lvlText w:val="Article %1 -"/>
      <w:lvlJc w:val="left"/>
      <w:pPr>
        <w:tabs>
          <w:tab w:val="num" w:pos="720"/>
        </w:tabs>
        <w:ind w:left="0" w:firstLine="0"/>
      </w:pPr>
      <w:rPr>
        <w:rFonts w:hint="default"/>
        <w:b/>
        <w:i w:val="0"/>
        <w:caps w:val="0"/>
        <w:u w:val="none"/>
      </w:rPr>
    </w:lvl>
    <w:lvl w:ilvl="1">
      <w:start w:val="1"/>
      <w:numFmt w:val="decimal"/>
      <w:isLgl/>
      <w:lvlText w:val="%1.%2"/>
      <w:lvlJc w:val="left"/>
      <w:pPr>
        <w:tabs>
          <w:tab w:val="num" w:pos="1440"/>
        </w:tabs>
        <w:ind w:left="0" w:firstLine="720"/>
      </w:pPr>
      <w:rPr>
        <w:b w:val="0"/>
        <w:i w:val="0"/>
        <w:caps w:val="0"/>
        <w:u w:val="none"/>
      </w:rPr>
    </w:lvl>
    <w:lvl w:ilvl="2">
      <w:start w:val="1"/>
      <w:numFmt w:val="lowerLetter"/>
      <w:lvlText w:val="(%3)"/>
      <w:lvlJc w:val="left"/>
      <w:pPr>
        <w:tabs>
          <w:tab w:val="num" w:pos="2020"/>
        </w:tabs>
        <w:ind w:left="0" w:firstLine="1440"/>
      </w:pPr>
      <w:rPr>
        <w:rFonts w:hint="default"/>
        <w:b w:val="0"/>
        <w:i w:val="0"/>
        <w:caps w:val="0"/>
        <w:u w:val="none"/>
      </w:rPr>
    </w:lvl>
    <w:lvl w:ilvl="3">
      <w:start w:val="1"/>
      <w:numFmt w:val="decimal"/>
      <w:lvlText w:val="%4."/>
      <w:lvlJc w:val="left"/>
      <w:pPr>
        <w:tabs>
          <w:tab w:val="num" w:pos="2880"/>
        </w:tabs>
        <w:ind w:left="0" w:firstLine="2160"/>
      </w:pPr>
      <w:rPr>
        <w:u w:val="none"/>
      </w:rPr>
    </w:lvl>
    <w:lvl w:ilvl="4">
      <w:start w:val="1"/>
      <w:numFmt w:val="lowerLetter"/>
      <w:lvlText w:val="%5."/>
      <w:lvlJc w:val="left"/>
      <w:pPr>
        <w:tabs>
          <w:tab w:val="num" w:pos="3600"/>
        </w:tabs>
        <w:ind w:left="0" w:firstLine="2880"/>
      </w:pPr>
      <w:rPr>
        <w:rFonts w:ascii="Arial" w:eastAsia="Times New Roman" w:hAnsi="Arial" w:cs="Arial"/>
        <w:b w:val="0"/>
        <w:i w:val="0"/>
        <w:caps w:val="0"/>
        <w:smallCaps w:val="0"/>
        <w:u w:val="none"/>
      </w:rPr>
    </w:lvl>
    <w:lvl w:ilvl="5">
      <w:start w:val="1"/>
      <w:numFmt w:val="lowerRoman"/>
      <w:lvlText w:val="%6."/>
      <w:lvlJc w:val="right"/>
      <w:pPr>
        <w:tabs>
          <w:tab w:val="num" w:pos="4320"/>
        </w:tabs>
        <w:ind w:left="1440" w:firstLine="3600"/>
      </w:pPr>
    </w:lvl>
    <w:lvl w:ilvl="6">
      <w:start w:val="1"/>
      <w:numFmt w:val="decimal"/>
      <w:lvlText w:val="%7."/>
      <w:lvlJc w:val="left"/>
      <w:pPr>
        <w:tabs>
          <w:tab w:val="num" w:pos="5040"/>
        </w:tabs>
        <w:ind w:left="1440" w:firstLine="4320"/>
      </w:pPr>
    </w:lvl>
    <w:lvl w:ilvl="7" w:tentative="1">
      <w:start w:val="1"/>
      <w:numFmt w:val="lowerLetter"/>
      <w:lvlText w:val="%8."/>
      <w:lvlJc w:val="left"/>
      <w:pPr>
        <w:tabs>
          <w:tab w:val="num" w:pos="5760"/>
        </w:tabs>
        <w:ind w:left="1440" w:firstLine="5040"/>
      </w:pPr>
    </w:lvl>
    <w:lvl w:ilvl="8" w:tentative="1">
      <w:start w:val="1"/>
      <w:numFmt w:val="lowerRoman"/>
      <w:lvlText w:val="%9."/>
      <w:lvlJc w:val="right"/>
      <w:pPr>
        <w:tabs>
          <w:tab w:val="num" w:pos="6480"/>
        </w:tabs>
        <w:ind w:left="1440" w:firstLine="5760"/>
      </w:pPr>
    </w:lvl>
  </w:abstractNum>
  <w:abstractNum w:abstractNumId="61" w15:restartNumberingAfterBreak="0">
    <w:nsid w:val="67D1050C"/>
    <w:multiLevelType w:val="hybridMultilevel"/>
    <w:tmpl w:val="B8A06552"/>
    <w:name w:val="Articles422222322222422222222222222"/>
    <w:lvl w:ilvl="0" w:tplc="96E679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69AC2A3B"/>
    <w:multiLevelType w:val="multilevel"/>
    <w:tmpl w:val="3D0C50C4"/>
    <w:lvl w:ilvl="0">
      <w:start w:val="1"/>
      <w:numFmt w:val="decimal"/>
      <w:pStyle w:val="ArticleExhL1"/>
      <w:suff w:val="nothing"/>
      <w:lvlText w:val="ARTICLE %1"/>
      <w:lvlJc w:val="left"/>
      <w:pPr>
        <w:tabs>
          <w:tab w:val="num" w:pos="720"/>
        </w:tabs>
        <w:ind w:left="0" w:firstLine="0"/>
      </w:pPr>
      <w:rPr>
        <w:rFonts w:ascii="Arial" w:hAnsi="Arial" w:cs="Arial"/>
        <w:b/>
        <w:i w:val="0"/>
        <w:caps/>
        <w:smallCaps w:val="0"/>
        <w:color w:val="auto"/>
        <w:sz w:val="24"/>
        <w:u w:val="none"/>
      </w:rPr>
    </w:lvl>
    <w:lvl w:ilvl="1">
      <w:start w:val="1"/>
      <w:numFmt w:val="decimal"/>
      <w:pStyle w:val="ArticleExhL2"/>
      <w:lvlText w:val="%1.%2"/>
      <w:lvlJc w:val="left"/>
      <w:pPr>
        <w:tabs>
          <w:tab w:val="num" w:pos="1440"/>
        </w:tabs>
        <w:ind w:left="0" w:firstLine="720"/>
      </w:pPr>
      <w:rPr>
        <w:rFonts w:ascii="Arial" w:hAnsi="Arial" w:cs="Arial"/>
        <w:b w:val="0"/>
        <w:i w:val="0"/>
        <w:caps w:val="0"/>
        <w:sz w:val="24"/>
        <w:u w:val="none"/>
      </w:rPr>
    </w:lvl>
    <w:lvl w:ilvl="2">
      <w:start w:val="1"/>
      <w:numFmt w:val="decimal"/>
      <w:pStyle w:val="ArticleExhL3"/>
      <w:lvlText w:val="%1.%2.%3"/>
      <w:lvlJc w:val="left"/>
      <w:pPr>
        <w:tabs>
          <w:tab w:val="num" w:pos="2520"/>
        </w:tabs>
        <w:ind w:left="0" w:firstLine="1440"/>
      </w:pPr>
      <w:rPr>
        <w:rFonts w:ascii="Arial" w:hAnsi="Arial" w:cs="Arial"/>
        <w:b w:val="0"/>
        <w:i w:val="0"/>
        <w:caps w:val="0"/>
        <w:sz w:val="24"/>
        <w:u w:val="none"/>
      </w:rPr>
    </w:lvl>
    <w:lvl w:ilvl="3">
      <w:start w:val="1"/>
      <w:numFmt w:val="lowerLetter"/>
      <w:pStyle w:val="ArticleExhL4"/>
      <w:lvlText w:val="(%4)"/>
      <w:lvlJc w:val="left"/>
      <w:pPr>
        <w:tabs>
          <w:tab w:val="num" w:pos="2880"/>
        </w:tabs>
        <w:ind w:left="0" w:firstLine="2160"/>
      </w:pPr>
      <w:rPr>
        <w:rFonts w:ascii="Arial" w:hAnsi="Arial" w:cs="Arial"/>
        <w:b w:val="0"/>
        <w:i w:val="0"/>
        <w:caps w:val="0"/>
        <w:sz w:val="24"/>
        <w:u w:val="none"/>
      </w:rPr>
    </w:lvl>
    <w:lvl w:ilvl="4">
      <w:start w:val="1"/>
      <w:numFmt w:val="lowerRoman"/>
      <w:pStyle w:val="ArticleExhL5"/>
      <w:lvlText w:val="(%5)"/>
      <w:lvlJc w:val="left"/>
      <w:pPr>
        <w:tabs>
          <w:tab w:val="num" w:pos="3600"/>
        </w:tabs>
        <w:ind w:left="0" w:firstLine="2880"/>
      </w:pPr>
      <w:rPr>
        <w:rFonts w:ascii="Arial" w:hAnsi="Arial" w:cs="Arial"/>
        <w:b w:val="0"/>
        <w:i w:val="0"/>
        <w:caps w:val="0"/>
        <w:sz w:val="24"/>
        <w:u w:val="none"/>
      </w:rPr>
    </w:lvl>
    <w:lvl w:ilvl="5">
      <w:start w:val="1"/>
      <w:numFmt w:val="decimal"/>
      <w:pStyle w:val="ArticleExhL6"/>
      <w:lvlText w:val="(%6)"/>
      <w:lvlJc w:val="left"/>
      <w:pPr>
        <w:tabs>
          <w:tab w:val="num" w:pos="4320"/>
        </w:tabs>
        <w:ind w:left="0" w:firstLine="3600"/>
      </w:pPr>
      <w:rPr>
        <w:rFonts w:ascii="Arial" w:hAnsi="Arial" w:cs="Arial"/>
        <w:b w:val="0"/>
        <w:i w:val="0"/>
        <w:caps w:val="0"/>
        <w:sz w:val="24"/>
        <w:u w:val="none"/>
      </w:rPr>
    </w:lvl>
    <w:lvl w:ilvl="6">
      <w:start w:val="1"/>
      <w:numFmt w:val="lowerLetter"/>
      <w:pStyle w:val="ArticleExhL7"/>
      <w:lvlText w:val="%7."/>
      <w:lvlJc w:val="left"/>
      <w:pPr>
        <w:tabs>
          <w:tab w:val="num" w:pos="5040"/>
        </w:tabs>
        <w:ind w:left="0" w:firstLine="4320"/>
      </w:pPr>
      <w:rPr>
        <w:rFonts w:ascii="Arial" w:hAnsi="Arial" w:cs="Arial"/>
        <w:b w:val="0"/>
        <w:i w:val="0"/>
        <w:caps w:val="0"/>
        <w:color w:val="auto"/>
        <w:sz w:val="24"/>
        <w:u w:val="none"/>
      </w:rPr>
    </w:lvl>
    <w:lvl w:ilvl="7">
      <w:start w:val="1"/>
      <w:numFmt w:val="lowerRoman"/>
      <w:pStyle w:val="ArticleExhL8"/>
      <w:lvlText w:val="%8."/>
      <w:lvlJc w:val="left"/>
      <w:pPr>
        <w:tabs>
          <w:tab w:val="num" w:pos="5760"/>
        </w:tabs>
        <w:ind w:left="0" w:firstLine="5040"/>
      </w:pPr>
      <w:rPr>
        <w:rFonts w:ascii="Arial" w:hAnsi="Arial" w:cs="Arial"/>
        <w:b w:val="0"/>
        <w:i w:val="0"/>
        <w:caps w:val="0"/>
        <w:color w:val="auto"/>
        <w:sz w:val="24"/>
        <w:u w:val="none"/>
      </w:rPr>
    </w:lvl>
    <w:lvl w:ilvl="8">
      <w:start w:val="1"/>
      <w:numFmt w:val="decimal"/>
      <w:pStyle w:val="ArticleExhL9"/>
      <w:lvlText w:val="%9."/>
      <w:lvlJc w:val="left"/>
      <w:pPr>
        <w:tabs>
          <w:tab w:val="num" w:pos="6480"/>
        </w:tabs>
        <w:ind w:left="0" w:firstLine="5760"/>
      </w:pPr>
      <w:rPr>
        <w:rFonts w:ascii="Arial" w:hAnsi="Arial" w:cs="Arial"/>
        <w:b w:val="0"/>
        <w:i w:val="0"/>
        <w:caps w:val="0"/>
        <w:color w:val="auto"/>
        <w:sz w:val="24"/>
        <w:u w:val="none"/>
      </w:rPr>
    </w:lvl>
  </w:abstractNum>
  <w:abstractNum w:abstractNumId="63" w15:restartNumberingAfterBreak="0">
    <w:nsid w:val="6BD51DDF"/>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15:restartNumberingAfterBreak="0">
    <w:nsid w:val="71592346"/>
    <w:multiLevelType w:val="multilevel"/>
    <w:tmpl w:val="DD0A677C"/>
    <w:lvl w:ilvl="0">
      <w:start w:val="1"/>
      <w:numFmt w:val="decimal"/>
      <w:pStyle w:val="Otten5L1"/>
      <w:lvlText w:val="%1."/>
      <w:lvlJc w:val="left"/>
      <w:pPr>
        <w:tabs>
          <w:tab w:val="num" w:pos="2160"/>
        </w:tabs>
        <w:ind w:left="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Otten5L2"/>
      <w:lvlText w:val="(%2)"/>
      <w:lvlJc w:val="left"/>
      <w:pPr>
        <w:tabs>
          <w:tab w:val="num" w:pos="2880"/>
        </w:tabs>
        <w:ind w:left="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Roman"/>
      <w:pStyle w:val="Otten5L3"/>
      <w:lvlText w:val="(%3)"/>
      <w:lvlJc w:val="left"/>
      <w:pPr>
        <w:tabs>
          <w:tab w:val="num" w:pos="3600"/>
        </w:tabs>
        <w:ind w:left="0" w:firstLine="288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tten5L4"/>
      <w:lvlText w:val="%4."/>
      <w:lvlJc w:val="left"/>
      <w:pPr>
        <w:tabs>
          <w:tab w:val="num" w:pos="4320"/>
        </w:tabs>
        <w:ind w:left="216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Otten5L5"/>
      <w:lvlText w:val="(%5)"/>
      <w:lvlJc w:val="left"/>
      <w:pPr>
        <w:tabs>
          <w:tab w:val="num" w:pos="5040"/>
        </w:tabs>
        <w:ind w:left="288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tten5L6"/>
      <w:lvlText w:val="%6)"/>
      <w:lvlJc w:val="left"/>
      <w:pPr>
        <w:tabs>
          <w:tab w:val="num" w:pos="5040"/>
        </w:tabs>
        <w:ind w:left="3600" w:firstLine="72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Otten5L7"/>
      <w:lvlText w:val="%7)"/>
      <w:lvlJc w:val="left"/>
      <w:pPr>
        <w:tabs>
          <w:tab w:val="num" w:pos="5760"/>
        </w:tabs>
        <w:ind w:left="360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Otten5L8"/>
      <w:lvlText w:val="%8."/>
      <w:lvlJc w:val="left"/>
      <w:pPr>
        <w:tabs>
          <w:tab w:val="num" w:pos="6480"/>
        </w:tabs>
        <w:ind w:left="4320" w:firstLine="144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Otten5L9"/>
      <w:lvlText w:val="%9."/>
      <w:lvlJc w:val="left"/>
      <w:pPr>
        <w:tabs>
          <w:tab w:val="num" w:pos="7200"/>
        </w:tabs>
        <w:ind w:left="4320" w:firstLine="2160"/>
      </w:pPr>
      <w:rPr>
        <w:rFonts w:ascii="Times New Roman" w:hAnsi="Times New Roman"/>
        <w:b w:val="0"/>
        <w:i w:val="0"/>
        <w:caps w:val="0"/>
        <w:small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5" w15:restartNumberingAfterBreak="0">
    <w:nsid w:val="7729279A"/>
    <w:multiLevelType w:val="hybridMultilevel"/>
    <w:tmpl w:val="EAA2CFEC"/>
    <w:lvl w:ilvl="0" w:tplc="249A6BA2">
      <w:start w:val="1"/>
      <w:numFmt w:val="bullet"/>
      <w:pStyle w:val="CapSignature"/>
      <w:lvlText w:val=""/>
      <w:lvlJc w:val="left"/>
      <w:pPr>
        <w:tabs>
          <w:tab w:val="num" w:pos="1440"/>
        </w:tabs>
        <w:ind w:left="1440" w:hanging="720"/>
      </w:pPr>
      <w:rPr>
        <w:rFonts w:ascii="Symbol" w:hAnsi="Symbol" w:hint="default"/>
      </w:rPr>
    </w:lvl>
    <w:lvl w:ilvl="1" w:tplc="86E0C372" w:tentative="1">
      <w:start w:val="1"/>
      <w:numFmt w:val="bullet"/>
      <w:lvlText w:val="o"/>
      <w:lvlJc w:val="left"/>
      <w:pPr>
        <w:tabs>
          <w:tab w:val="num" w:pos="1440"/>
        </w:tabs>
        <w:ind w:left="1440" w:hanging="360"/>
      </w:pPr>
      <w:rPr>
        <w:rFonts w:ascii="Courier New" w:hAnsi="Courier New" w:cs="Courier New" w:hint="default"/>
      </w:rPr>
    </w:lvl>
    <w:lvl w:ilvl="2" w:tplc="81B0A5F2" w:tentative="1">
      <w:start w:val="1"/>
      <w:numFmt w:val="bullet"/>
      <w:lvlText w:val=""/>
      <w:lvlJc w:val="left"/>
      <w:pPr>
        <w:tabs>
          <w:tab w:val="num" w:pos="2160"/>
        </w:tabs>
        <w:ind w:left="2160" w:hanging="360"/>
      </w:pPr>
      <w:rPr>
        <w:rFonts w:ascii="Wingdings" w:hAnsi="Wingdings" w:hint="default"/>
      </w:rPr>
    </w:lvl>
    <w:lvl w:ilvl="3" w:tplc="C2ACE452" w:tentative="1">
      <w:start w:val="1"/>
      <w:numFmt w:val="bullet"/>
      <w:lvlText w:val=""/>
      <w:lvlJc w:val="left"/>
      <w:pPr>
        <w:tabs>
          <w:tab w:val="num" w:pos="2880"/>
        </w:tabs>
        <w:ind w:left="2880" w:hanging="360"/>
      </w:pPr>
      <w:rPr>
        <w:rFonts w:ascii="Symbol" w:hAnsi="Symbol" w:hint="default"/>
      </w:rPr>
    </w:lvl>
    <w:lvl w:ilvl="4" w:tplc="9ED4987E" w:tentative="1">
      <w:start w:val="1"/>
      <w:numFmt w:val="bullet"/>
      <w:lvlText w:val="o"/>
      <w:lvlJc w:val="left"/>
      <w:pPr>
        <w:tabs>
          <w:tab w:val="num" w:pos="3600"/>
        </w:tabs>
        <w:ind w:left="3600" w:hanging="360"/>
      </w:pPr>
      <w:rPr>
        <w:rFonts w:ascii="Courier New" w:hAnsi="Courier New" w:cs="Courier New" w:hint="default"/>
      </w:rPr>
    </w:lvl>
    <w:lvl w:ilvl="5" w:tplc="92A420DC" w:tentative="1">
      <w:start w:val="1"/>
      <w:numFmt w:val="bullet"/>
      <w:lvlText w:val=""/>
      <w:lvlJc w:val="left"/>
      <w:pPr>
        <w:tabs>
          <w:tab w:val="num" w:pos="4320"/>
        </w:tabs>
        <w:ind w:left="4320" w:hanging="360"/>
      </w:pPr>
      <w:rPr>
        <w:rFonts w:ascii="Wingdings" w:hAnsi="Wingdings" w:hint="default"/>
      </w:rPr>
    </w:lvl>
    <w:lvl w:ilvl="6" w:tplc="12BC0FA4" w:tentative="1">
      <w:start w:val="1"/>
      <w:numFmt w:val="bullet"/>
      <w:lvlText w:val=""/>
      <w:lvlJc w:val="left"/>
      <w:pPr>
        <w:tabs>
          <w:tab w:val="num" w:pos="5040"/>
        </w:tabs>
        <w:ind w:left="5040" w:hanging="360"/>
      </w:pPr>
      <w:rPr>
        <w:rFonts w:ascii="Symbol" w:hAnsi="Symbol" w:hint="default"/>
      </w:rPr>
    </w:lvl>
    <w:lvl w:ilvl="7" w:tplc="7B4C6E40" w:tentative="1">
      <w:start w:val="1"/>
      <w:numFmt w:val="bullet"/>
      <w:lvlText w:val="o"/>
      <w:lvlJc w:val="left"/>
      <w:pPr>
        <w:tabs>
          <w:tab w:val="num" w:pos="5760"/>
        </w:tabs>
        <w:ind w:left="5760" w:hanging="360"/>
      </w:pPr>
      <w:rPr>
        <w:rFonts w:ascii="Courier New" w:hAnsi="Courier New" w:cs="Courier New" w:hint="default"/>
      </w:rPr>
    </w:lvl>
    <w:lvl w:ilvl="8" w:tplc="00065CC2"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8702BC0"/>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78884E9A"/>
    <w:multiLevelType w:val="hybridMultilevel"/>
    <w:tmpl w:val="9B3CE858"/>
    <w:lvl w:ilvl="0" w:tplc="CD2CD02A">
      <w:start w:val="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93B0FEF"/>
    <w:multiLevelType w:val="hybridMultilevel"/>
    <w:tmpl w:val="E8745116"/>
    <w:lvl w:ilvl="0" w:tplc="D4626B96">
      <w:start w:val="1"/>
      <w:numFmt w:val="bullet"/>
      <w:pStyle w:val="FlushRightDotLeader"/>
      <w:lvlText w:val=""/>
      <w:lvlJc w:val="left"/>
      <w:pPr>
        <w:tabs>
          <w:tab w:val="num" w:pos="1440"/>
        </w:tabs>
        <w:ind w:left="1440" w:hanging="720"/>
      </w:pPr>
      <w:rPr>
        <w:rFonts w:ascii="Symbol" w:hAnsi="Symbol" w:hint="default"/>
      </w:rPr>
    </w:lvl>
    <w:lvl w:ilvl="1" w:tplc="D7AA566E" w:tentative="1">
      <w:start w:val="1"/>
      <w:numFmt w:val="bullet"/>
      <w:lvlText w:val="o"/>
      <w:lvlJc w:val="left"/>
      <w:pPr>
        <w:tabs>
          <w:tab w:val="num" w:pos="1440"/>
        </w:tabs>
        <w:ind w:left="1440" w:hanging="360"/>
      </w:pPr>
      <w:rPr>
        <w:rFonts w:ascii="Courier New" w:hAnsi="Courier New" w:cs="Courier New" w:hint="default"/>
      </w:rPr>
    </w:lvl>
    <w:lvl w:ilvl="2" w:tplc="5320609A" w:tentative="1">
      <w:start w:val="1"/>
      <w:numFmt w:val="bullet"/>
      <w:lvlText w:val=""/>
      <w:lvlJc w:val="left"/>
      <w:pPr>
        <w:tabs>
          <w:tab w:val="num" w:pos="2160"/>
        </w:tabs>
        <w:ind w:left="2160" w:hanging="360"/>
      </w:pPr>
      <w:rPr>
        <w:rFonts w:ascii="Wingdings" w:hAnsi="Wingdings" w:hint="default"/>
      </w:rPr>
    </w:lvl>
    <w:lvl w:ilvl="3" w:tplc="4F46A658" w:tentative="1">
      <w:start w:val="1"/>
      <w:numFmt w:val="bullet"/>
      <w:lvlText w:val=""/>
      <w:lvlJc w:val="left"/>
      <w:pPr>
        <w:tabs>
          <w:tab w:val="num" w:pos="2880"/>
        </w:tabs>
        <w:ind w:left="2880" w:hanging="360"/>
      </w:pPr>
      <w:rPr>
        <w:rFonts w:ascii="Symbol" w:hAnsi="Symbol" w:hint="default"/>
      </w:rPr>
    </w:lvl>
    <w:lvl w:ilvl="4" w:tplc="188AC644" w:tentative="1">
      <w:start w:val="1"/>
      <w:numFmt w:val="bullet"/>
      <w:lvlText w:val="o"/>
      <w:lvlJc w:val="left"/>
      <w:pPr>
        <w:tabs>
          <w:tab w:val="num" w:pos="3600"/>
        </w:tabs>
        <w:ind w:left="3600" w:hanging="360"/>
      </w:pPr>
      <w:rPr>
        <w:rFonts w:ascii="Courier New" w:hAnsi="Courier New" w:cs="Courier New" w:hint="default"/>
      </w:rPr>
    </w:lvl>
    <w:lvl w:ilvl="5" w:tplc="D0E4317E" w:tentative="1">
      <w:start w:val="1"/>
      <w:numFmt w:val="bullet"/>
      <w:lvlText w:val=""/>
      <w:lvlJc w:val="left"/>
      <w:pPr>
        <w:tabs>
          <w:tab w:val="num" w:pos="4320"/>
        </w:tabs>
        <w:ind w:left="4320" w:hanging="360"/>
      </w:pPr>
      <w:rPr>
        <w:rFonts w:ascii="Wingdings" w:hAnsi="Wingdings" w:hint="default"/>
      </w:rPr>
    </w:lvl>
    <w:lvl w:ilvl="6" w:tplc="3F284440" w:tentative="1">
      <w:start w:val="1"/>
      <w:numFmt w:val="bullet"/>
      <w:lvlText w:val=""/>
      <w:lvlJc w:val="left"/>
      <w:pPr>
        <w:tabs>
          <w:tab w:val="num" w:pos="5040"/>
        </w:tabs>
        <w:ind w:left="5040" w:hanging="360"/>
      </w:pPr>
      <w:rPr>
        <w:rFonts w:ascii="Symbol" w:hAnsi="Symbol" w:hint="default"/>
      </w:rPr>
    </w:lvl>
    <w:lvl w:ilvl="7" w:tplc="BB70628A" w:tentative="1">
      <w:start w:val="1"/>
      <w:numFmt w:val="bullet"/>
      <w:lvlText w:val="o"/>
      <w:lvlJc w:val="left"/>
      <w:pPr>
        <w:tabs>
          <w:tab w:val="num" w:pos="5760"/>
        </w:tabs>
        <w:ind w:left="5760" w:hanging="360"/>
      </w:pPr>
      <w:rPr>
        <w:rFonts w:ascii="Courier New" w:hAnsi="Courier New" w:cs="Courier New" w:hint="default"/>
      </w:rPr>
    </w:lvl>
    <w:lvl w:ilvl="8" w:tplc="B4CC8B0E"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9866860"/>
    <w:multiLevelType w:val="hybridMultilevel"/>
    <w:tmpl w:val="16B0B4F4"/>
    <w:lvl w:ilvl="0" w:tplc="170A243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0" w15:restartNumberingAfterBreak="0">
    <w:nsid w:val="7A630B5B"/>
    <w:multiLevelType w:val="hybridMultilevel"/>
    <w:tmpl w:val="099870CE"/>
    <w:lvl w:ilvl="0" w:tplc="20C6A85E">
      <w:start w:val="1"/>
      <w:numFmt w:val="lowerRoman"/>
      <w:lvlText w:val="(%1)"/>
      <w:lvlJc w:val="left"/>
      <w:pPr>
        <w:ind w:left="1440" w:hanging="360"/>
      </w:pPr>
      <w:rPr>
        <w:rFonts w:ascii="Arial" w:hAnsi="Arial" w:cs="Arial" w:hint="default"/>
        <w:b w:val="0"/>
        <w:i w:val="0"/>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15:restartNumberingAfterBreak="0">
    <w:nsid w:val="7B90111C"/>
    <w:multiLevelType w:val="hybridMultilevel"/>
    <w:tmpl w:val="18E6A9C4"/>
    <w:lvl w:ilvl="0" w:tplc="51D27292">
      <w:start w:val="1"/>
      <w:numFmt w:val="upperLetter"/>
      <w:pStyle w:val="ShortLines"/>
      <w:lvlText w:val="%1."/>
      <w:lvlJc w:val="left"/>
      <w:pPr>
        <w:tabs>
          <w:tab w:val="num" w:pos="1440"/>
        </w:tabs>
        <w:ind w:left="0" w:firstLine="720"/>
      </w:pPr>
      <w:rPr>
        <w:rFonts w:hint="default"/>
      </w:rPr>
    </w:lvl>
    <w:lvl w:ilvl="1" w:tplc="C32AAE58" w:tentative="1">
      <w:start w:val="1"/>
      <w:numFmt w:val="lowerLetter"/>
      <w:lvlText w:val="%2."/>
      <w:lvlJc w:val="left"/>
      <w:pPr>
        <w:tabs>
          <w:tab w:val="num" w:pos="1440"/>
        </w:tabs>
        <w:ind w:left="1440" w:hanging="360"/>
      </w:pPr>
    </w:lvl>
    <w:lvl w:ilvl="2" w:tplc="D8D611A8" w:tentative="1">
      <w:start w:val="1"/>
      <w:numFmt w:val="lowerRoman"/>
      <w:lvlText w:val="%3."/>
      <w:lvlJc w:val="right"/>
      <w:pPr>
        <w:tabs>
          <w:tab w:val="num" w:pos="2160"/>
        </w:tabs>
        <w:ind w:left="2160" w:hanging="180"/>
      </w:pPr>
    </w:lvl>
    <w:lvl w:ilvl="3" w:tplc="A1D6355A" w:tentative="1">
      <w:start w:val="1"/>
      <w:numFmt w:val="decimal"/>
      <w:lvlText w:val="%4."/>
      <w:lvlJc w:val="left"/>
      <w:pPr>
        <w:tabs>
          <w:tab w:val="num" w:pos="2880"/>
        </w:tabs>
        <w:ind w:left="2880" w:hanging="360"/>
      </w:pPr>
    </w:lvl>
    <w:lvl w:ilvl="4" w:tplc="3EB6281E" w:tentative="1">
      <w:start w:val="1"/>
      <w:numFmt w:val="lowerLetter"/>
      <w:lvlText w:val="%5."/>
      <w:lvlJc w:val="left"/>
      <w:pPr>
        <w:tabs>
          <w:tab w:val="num" w:pos="3600"/>
        </w:tabs>
        <w:ind w:left="3600" w:hanging="360"/>
      </w:pPr>
    </w:lvl>
    <w:lvl w:ilvl="5" w:tplc="85347CFA" w:tentative="1">
      <w:start w:val="1"/>
      <w:numFmt w:val="lowerRoman"/>
      <w:lvlText w:val="%6."/>
      <w:lvlJc w:val="right"/>
      <w:pPr>
        <w:tabs>
          <w:tab w:val="num" w:pos="4320"/>
        </w:tabs>
        <w:ind w:left="4320" w:hanging="180"/>
      </w:pPr>
    </w:lvl>
    <w:lvl w:ilvl="6" w:tplc="DF0EC1B6" w:tentative="1">
      <w:start w:val="1"/>
      <w:numFmt w:val="decimal"/>
      <w:lvlText w:val="%7."/>
      <w:lvlJc w:val="left"/>
      <w:pPr>
        <w:tabs>
          <w:tab w:val="num" w:pos="5040"/>
        </w:tabs>
        <w:ind w:left="5040" w:hanging="360"/>
      </w:pPr>
    </w:lvl>
    <w:lvl w:ilvl="7" w:tplc="D45A2F94" w:tentative="1">
      <w:start w:val="1"/>
      <w:numFmt w:val="lowerLetter"/>
      <w:lvlText w:val="%8."/>
      <w:lvlJc w:val="left"/>
      <w:pPr>
        <w:tabs>
          <w:tab w:val="num" w:pos="5760"/>
        </w:tabs>
        <w:ind w:left="5760" w:hanging="360"/>
      </w:pPr>
    </w:lvl>
    <w:lvl w:ilvl="8" w:tplc="B7188F46" w:tentative="1">
      <w:start w:val="1"/>
      <w:numFmt w:val="lowerRoman"/>
      <w:lvlText w:val="%9."/>
      <w:lvlJc w:val="right"/>
      <w:pPr>
        <w:tabs>
          <w:tab w:val="num" w:pos="6480"/>
        </w:tabs>
        <w:ind w:left="6480" w:hanging="180"/>
      </w:pPr>
    </w:lvl>
  </w:abstractNum>
  <w:abstractNum w:abstractNumId="72" w15:restartNumberingAfterBreak="0">
    <w:nsid w:val="7D6902D0"/>
    <w:multiLevelType w:val="hybridMultilevel"/>
    <w:tmpl w:val="0FC2F7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DF74197"/>
    <w:multiLevelType w:val="hybridMultilevel"/>
    <w:tmpl w:val="46B631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7EB37DA7"/>
    <w:multiLevelType w:val="hybridMultilevel"/>
    <w:tmpl w:val="BEA65EE0"/>
    <w:lvl w:ilvl="0" w:tplc="B7525B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4"/>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2"/>
  </w:num>
  <w:num w:numId="14">
    <w:abstractNumId w:val="62"/>
  </w:num>
  <w:num w:numId="15">
    <w:abstractNumId w:val="13"/>
  </w:num>
  <w:num w:numId="16">
    <w:abstractNumId w:val="49"/>
  </w:num>
  <w:num w:numId="17">
    <w:abstractNumId w:val="10"/>
    <w:lvlOverride w:ilvl="0">
      <w:startOverride w:val="1"/>
      <w:lvl w:ilvl="0">
        <w:start w:val="1"/>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pStyle w:val="Level5"/>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18">
    <w:abstractNumId w:val="39"/>
  </w:num>
  <w:num w:numId="19">
    <w:abstractNumId w:val="43"/>
  </w:num>
  <w:num w:numId="20">
    <w:abstractNumId w:val="21"/>
  </w:num>
  <w:num w:numId="21">
    <w:abstractNumId w:val="58"/>
  </w:num>
  <w:num w:numId="22">
    <w:abstractNumId w:val="18"/>
  </w:num>
  <w:num w:numId="23">
    <w:abstractNumId w:val="64"/>
  </w:num>
  <w:num w:numId="24">
    <w:abstractNumId w:val="65"/>
  </w:num>
  <w:num w:numId="25">
    <w:abstractNumId w:val="68"/>
  </w:num>
  <w:num w:numId="26">
    <w:abstractNumId w:val="19"/>
  </w:num>
  <w:num w:numId="27">
    <w:abstractNumId w:val="71"/>
  </w:num>
  <w:num w:numId="28">
    <w:abstractNumId w:val="37"/>
  </w:num>
  <w:num w:numId="29">
    <w:abstractNumId w:val="17"/>
  </w:num>
  <w:num w:numId="30">
    <w:abstractNumId w:val="24"/>
  </w:num>
  <w:num w:numId="31">
    <w:abstractNumId w:val="33"/>
  </w:num>
  <w:num w:numId="32">
    <w:abstractNumId w:val="42"/>
  </w:num>
  <w:num w:numId="33">
    <w:abstractNumId w:val="60"/>
  </w:num>
  <w:num w:numId="34">
    <w:abstractNumId w:val="44"/>
  </w:num>
  <w:num w:numId="35">
    <w:abstractNumId w:val="52"/>
  </w:num>
  <w:num w:numId="36">
    <w:abstractNumId w:val="69"/>
  </w:num>
  <w:num w:numId="37">
    <w:abstractNumId w:val="55"/>
  </w:num>
  <w:num w:numId="38">
    <w:abstractNumId w:val="47"/>
  </w:num>
  <w:num w:numId="39">
    <w:abstractNumId w:val="59"/>
  </w:num>
  <w:num w:numId="40">
    <w:abstractNumId w:val="15"/>
  </w:num>
  <w:num w:numId="41">
    <w:abstractNumId w:val="46"/>
  </w:num>
  <w:num w:numId="42">
    <w:abstractNumId w:val="31"/>
  </w:num>
  <w:num w:numId="43">
    <w:abstractNumId w:val="26"/>
  </w:num>
  <w:num w:numId="44">
    <w:abstractNumId w:val="29"/>
  </w:num>
  <w:num w:numId="45">
    <w:abstractNumId w:val="70"/>
  </w:num>
  <w:num w:numId="46">
    <w:abstractNumId w:val="27"/>
  </w:num>
  <w:num w:numId="47">
    <w:abstractNumId w:val="41"/>
  </w:num>
  <w:num w:numId="48">
    <w:abstractNumId w:val="23"/>
  </w:num>
  <w:num w:numId="49">
    <w:abstractNumId w:val="66"/>
  </w:num>
  <w:num w:numId="50">
    <w:abstractNumId w:val="73"/>
  </w:num>
  <w:num w:numId="51">
    <w:abstractNumId w:val="34"/>
  </w:num>
  <w:num w:numId="52">
    <w:abstractNumId w:val="63"/>
  </w:num>
  <w:num w:numId="53">
    <w:abstractNumId w:val="40"/>
  </w:num>
  <w:num w:numId="54">
    <w:abstractNumId w:val="48"/>
  </w:num>
  <w:num w:numId="55">
    <w:abstractNumId w:val="57"/>
  </w:num>
  <w:num w:numId="56">
    <w:abstractNumId w:val="67"/>
  </w:num>
  <w:num w:numId="57">
    <w:abstractNumId w:val="11"/>
  </w:num>
  <w:num w:numId="58">
    <w:abstractNumId w:val="74"/>
  </w:num>
  <w:num w:numId="59">
    <w:abstractNumId w:val="36"/>
  </w:num>
  <w:num w:numId="60">
    <w:abstractNumId w:val="20"/>
  </w:num>
  <w:num w:numId="6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6"/>
  </w:num>
  <w:num w:numId="63">
    <w:abstractNumId w:val="72"/>
  </w:num>
  <w:num w:numId="64">
    <w:abstractNumId w:val="25"/>
  </w:num>
  <w:num w:numId="65">
    <w:abstractNumId w:val="53"/>
  </w:num>
  <w:num w:numId="66">
    <w:abstractNumId w:val="54"/>
  </w:num>
  <w:num w:numId="67">
    <w:abstractNumId w:val="22"/>
  </w:num>
  <w:num w:numId="68">
    <w:abstractNumId w:val="30"/>
  </w:num>
  <w:num w:numId="69">
    <w:abstractNumId w:val="32"/>
  </w:num>
  <w:num w:numId="70">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embedSystemFonts/>
  <w:activeWritingStyle w:lang="en-US" w:vendorID="8" w:dllVersion="513" w:checkStyle="1" w:appName="MSWord"/>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79A"/>
    <w:rsid w:val="00067DE5"/>
    <w:rsid w:val="00072C59"/>
    <w:rsid w:val="000E594C"/>
    <w:rsid w:val="00101E7E"/>
    <w:rsid w:val="001611E7"/>
    <w:rsid w:val="00196489"/>
    <w:rsid w:val="001E1272"/>
    <w:rsid w:val="00252D7F"/>
    <w:rsid w:val="00267525"/>
    <w:rsid w:val="002A2672"/>
    <w:rsid w:val="0032349E"/>
    <w:rsid w:val="003E5439"/>
    <w:rsid w:val="00497A1E"/>
    <w:rsid w:val="00510665"/>
    <w:rsid w:val="0054628B"/>
    <w:rsid w:val="005632D0"/>
    <w:rsid w:val="005E36F4"/>
    <w:rsid w:val="005E63B4"/>
    <w:rsid w:val="006428F3"/>
    <w:rsid w:val="00647E07"/>
    <w:rsid w:val="00652F44"/>
    <w:rsid w:val="00673AC2"/>
    <w:rsid w:val="0069248E"/>
    <w:rsid w:val="006E047B"/>
    <w:rsid w:val="006F311B"/>
    <w:rsid w:val="00742216"/>
    <w:rsid w:val="0079779A"/>
    <w:rsid w:val="007A1AA8"/>
    <w:rsid w:val="007A3F6D"/>
    <w:rsid w:val="007E20BC"/>
    <w:rsid w:val="00861168"/>
    <w:rsid w:val="008A4443"/>
    <w:rsid w:val="008E4CF7"/>
    <w:rsid w:val="009A641E"/>
    <w:rsid w:val="009B58B4"/>
    <w:rsid w:val="009D4AA3"/>
    <w:rsid w:val="009F09CF"/>
    <w:rsid w:val="00A22ABD"/>
    <w:rsid w:val="00A61D09"/>
    <w:rsid w:val="00A715EC"/>
    <w:rsid w:val="00A832A1"/>
    <w:rsid w:val="00A8726D"/>
    <w:rsid w:val="00A903DE"/>
    <w:rsid w:val="00AC6617"/>
    <w:rsid w:val="00AD6A36"/>
    <w:rsid w:val="00AE46B9"/>
    <w:rsid w:val="00B30290"/>
    <w:rsid w:val="00B43240"/>
    <w:rsid w:val="00B60283"/>
    <w:rsid w:val="00B70363"/>
    <w:rsid w:val="00B926C1"/>
    <w:rsid w:val="00BA6F11"/>
    <w:rsid w:val="00BB4F69"/>
    <w:rsid w:val="00BD6FE5"/>
    <w:rsid w:val="00CD0358"/>
    <w:rsid w:val="00D31EBD"/>
    <w:rsid w:val="00D338F2"/>
    <w:rsid w:val="00D63537"/>
    <w:rsid w:val="00D96024"/>
    <w:rsid w:val="00E313AB"/>
    <w:rsid w:val="00E374E2"/>
    <w:rsid w:val="00E60173"/>
    <w:rsid w:val="00E8006C"/>
    <w:rsid w:val="00E92FC5"/>
    <w:rsid w:val="00ED07FE"/>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3B152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qFormat="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rFonts w:ascii="Arial" w:hAnsi="Arial"/>
      <w:sz w:val="24"/>
      <w:szCs w:val="24"/>
    </w:rPr>
  </w:style>
  <w:style w:type="paragraph" w:styleId="Heading1">
    <w:name w:val="heading 1"/>
    <w:basedOn w:val="Normal"/>
    <w:next w:val="BodyText"/>
    <w:uiPriority w:val="9"/>
    <w:qFormat/>
    <w:pPr>
      <w:keepNext/>
      <w:numPr>
        <w:numId w:val="2"/>
      </w:numPr>
      <w:spacing w:before="240" w:after="60"/>
      <w:outlineLvl w:val="0"/>
    </w:pPr>
    <w:rPr>
      <w:rFonts w:cs="Arial"/>
      <w:b/>
      <w:bCs/>
      <w:kern w:val="32"/>
    </w:rPr>
  </w:style>
  <w:style w:type="paragraph" w:styleId="Heading2">
    <w:name w:val="heading 2"/>
    <w:basedOn w:val="Normal"/>
    <w:next w:val="BodyText"/>
    <w:uiPriority w:val="9"/>
    <w:qFormat/>
    <w:pPr>
      <w:keepNext/>
      <w:numPr>
        <w:ilvl w:val="1"/>
        <w:numId w:val="2"/>
      </w:numPr>
      <w:spacing w:before="240" w:after="60"/>
      <w:outlineLvl w:val="1"/>
    </w:pPr>
    <w:rPr>
      <w:rFonts w:cs="Arial"/>
      <w:bCs/>
      <w:i/>
      <w:iCs/>
    </w:rPr>
  </w:style>
  <w:style w:type="paragraph" w:styleId="Heading3">
    <w:name w:val="heading 3"/>
    <w:basedOn w:val="Normal"/>
    <w:next w:val="BodyText"/>
    <w:uiPriority w:val="9"/>
    <w:qFormat/>
    <w:pPr>
      <w:keepNext/>
      <w:numPr>
        <w:ilvl w:val="2"/>
        <w:numId w:val="2"/>
      </w:numPr>
      <w:spacing w:before="240" w:after="60"/>
      <w:ind w:left="0" w:firstLine="0"/>
      <w:outlineLvl w:val="2"/>
    </w:pPr>
    <w:rPr>
      <w:rFonts w:cs="Arial"/>
      <w:b/>
      <w:bCs/>
    </w:rPr>
  </w:style>
  <w:style w:type="paragraph" w:styleId="Heading4">
    <w:name w:val="heading 4"/>
    <w:basedOn w:val="Normal"/>
    <w:next w:val="BodyText"/>
    <w:uiPriority w:val="9"/>
    <w:qFormat/>
    <w:pPr>
      <w:keepNext/>
      <w:numPr>
        <w:ilvl w:val="3"/>
        <w:numId w:val="2"/>
      </w:numPr>
      <w:spacing w:before="240" w:after="60"/>
      <w:ind w:left="0" w:firstLine="0"/>
      <w:outlineLvl w:val="3"/>
    </w:pPr>
    <w:rPr>
      <w:b/>
      <w:bCs/>
    </w:rPr>
  </w:style>
  <w:style w:type="paragraph" w:styleId="Heading5">
    <w:name w:val="heading 5"/>
    <w:basedOn w:val="Normal"/>
    <w:next w:val="BodyText"/>
    <w:uiPriority w:val="9"/>
    <w:qFormat/>
    <w:pPr>
      <w:numPr>
        <w:ilvl w:val="4"/>
        <w:numId w:val="2"/>
      </w:numPr>
      <w:spacing w:before="240" w:after="60"/>
      <w:ind w:left="0" w:firstLine="0"/>
      <w:outlineLvl w:val="4"/>
    </w:pPr>
    <w:rPr>
      <w:b/>
      <w:bCs/>
      <w:i/>
      <w:iCs/>
      <w:szCs w:val="26"/>
    </w:rPr>
  </w:style>
  <w:style w:type="paragraph" w:styleId="Heading6">
    <w:name w:val="heading 6"/>
    <w:basedOn w:val="Normal"/>
    <w:next w:val="Normal"/>
    <w:uiPriority w:val="99"/>
    <w:qFormat/>
    <w:pPr>
      <w:numPr>
        <w:ilvl w:val="5"/>
        <w:numId w:val="2"/>
      </w:numPr>
      <w:spacing w:before="240" w:after="60"/>
      <w:ind w:left="0" w:firstLine="0"/>
      <w:outlineLvl w:val="5"/>
    </w:pPr>
    <w:rPr>
      <w:b/>
      <w:bCs/>
      <w:szCs w:val="22"/>
    </w:rPr>
  </w:style>
  <w:style w:type="paragraph" w:styleId="Heading7">
    <w:name w:val="heading 7"/>
    <w:aliases w:val="Simple arabic numbers,Simple Arabic Numbers"/>
    <w:basedOn w:val="Normal"/>
    <w:next w:val="Normal"/>
    <w:qFormat/>
    <w:pPr>
      <w:numPr>
        <w:ilvl w:val="6"/>
        <w:numId w:val="2"/>
      </w:numPr>
      <w:spacing w:before="240" w:after="60"/>
      <w:ind w:left="0" w:firstLine="0"/>
      <w:outlineLvl w:val="6"/>
    </w:pPr>
  </w:style>
  <w:style w:type="paragraph" w:styleId="Heading8">
    <w:name w:val="heading 8"/>
    <w:aliases w:val="Simple alpha numbers"/>
    <w:basedOn w:val="Normal"/>
    <w:next w:val="Normal"/>
    <w:qFormat/>
    <w:pPr>
      <w:numPr>
        <w:ilvl w:val="7"/>
        <w:numId w:val="2"/>
      </w:numPr>
      <w:spacing w:before="240" w:after="60"/>
      <w:ind w:left="0" w:firstLine="0"/>
      <w:outlineLvl w:val="7"/>
    </w:pPr>
    <w:rPr>
      <w:i/>
      <w:iCs/>
    </w:rPr>
  </w:style>
  <w:style w:type="paragraph" w:styleId="Heading9">
    <w:name w:val="heading 9"/>
    <w:aliases w:val="Simple (sm) roman numbers"/>
    <w:basedOn w:val="Normal"/>
    <w:next w:val="Normal"/>
    <w:qFormat/>
    <w:pPr>
      <w:numPr>
        <w:ilvl w:val="8"/>
        <w:numId w:val="2"/>
      </w:numPr>
      <w:spacing w:before="240" w:after="60"/>
      <w:ind w:left="0" w:firstLine="0"/>
      <w:outlineLvl w:val="8"/>
    </w:pPr>
    <w:rPr>
      <w:rFonts w:cs="Arial"/>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numbering" w:styleId="111111">
    <w:name w:val="Outline List 2"/>
    <w:aliases w:val="1 / 1.1 / A"/>
    <w:basedOn w:val="NoList"/>
    <w:pPr>
      <w:numPr>
        <w:numId w:val="29"/>
      </w:numPr>
    </w:pPr>
  </w:style>
  <w:style w:type="numbering" w:styleId="1ai">
    <w:name w:val="Outline List 1"/>
    <w:basedOn w:val="NoList"/>
    <w:pPr>
      <w:numPr>
        <w:numId w:val="1"/>
      </w:numPr>
    </w:pPr>
  </w:style>
  <w:style w:type="numbering" w:styleId="ArticleSection">
    <w:name w:val="Outline List 3"/>
    <w:basedOn w:val="NoList"/>
    <w:pPr>
      <w:numPr>
        <w:numId w:val="2"/>
      </w:numPr>
    </w:pPr>
  </w:style>
  <w:style w:type="paragraph" w:styleId="BalloonText">
    <w:name w:val="Balloon Text"/>
    <w:basedOn w:val="Normal"/>
    <w:rPr>
      <w:rFonts w:ascii="Tahoma" w:hAnsi="Tahoma" w:cs="Tahoma"/>
      <w:sz w:val="16"/>
      <w:szCs w:val="16"/>
    </w:rPr>
  </w:style>
  <w:style w:type="paragraph" w:styleId="BodyText">
    <w:name w:val="Body Text"/>
    <w:aliases w:val="bt"/>
    <w:basedOn w:val="Normal"/>
    <w:link w:val="BodyTextChar"/>
    <w:pPr>
      <w:spacing w:after="240"/>
    </w:pPr>
    <w:rPr>
      <w:lang w:val="x-none" w:eastAsia="x-none"/>
    </w:rPr>
  </w:style>
  <w:style w:type="paragraph" w:styleId="Body" w:customStyle="1">
    <w:name w:val="Body"/>
    <w:basedOn w:val="BodyText"/>
    <w:rPr>
      <w:sz w:val="22"/>
      <w:szCs w:val="21"/>
    </w:rPr>
  </w:style>
  <w:style w:type="paragraph" w:styleId="BodyText15" w:customStyle="1">
    <w:name w:val="Body Text 1.5"/>
    <w:basedOn w:val="BodyText"/>
    <w:pPr>
      <w:spacing w:line="360" w:lineRule="auto"/>
    </w:pPr>
  </w:style>
  <w:style w:type="paragraph" w:styleId="BodyText2">
    <w:name w:val="Body Text 2"/>
    <w:basedOn w:val="BodyText"/>
    <w:pPr>
      <w:spacing w:line="480" w:lineRule="auto"/>
    </w:pPr>
  </w:style>
  <w:style w:type="paragraph" w:styleId="BodyText3">
    <w:name w:val="Body Text 3"/>
    <w:basedOn w:val="Normal"/>
    <w:pPr>
      <w:spacing w:after="120"/>
    </w:pPr>
    <w:rPr>
      <w:sz w:val="16"/>
      <w:szCs w:val="16"/>
    </w:rPr>
  </w:style>
  <w:style w:type="paragraph" w:styleId="BodyTextFirstIndent">
    <w:name w:val="Body Text First Indent"/>
    <w:basedOn w:val="BodyText"/>
    <w:link w:val="BodyTextFirstIndentChar"/>
    <w:pPr>
      <w:ind w:right="-720" w:firstLine="720"/>
      <w:jc w:val="both"/>
    </w:pPr>
  </w:style>
  <w:style w:type="paragraph" w:styleId="BodyTextFirstIndent15" w:customStyle="1">
    <w:name w:val="Body Text First Indent 1.5"/>
    <w:basedOn w:val="BodyText"/>
    <w:pPr>
      <w:spacing w:line="360" w:lineRule="auto"/>
      <w:ind w:firstLine="720"/>
    </w:pPr>
  </w:style>
  <w:style w:type="paragraph" w:styleId="BodyTextIndent">
    <w:name w:val="Body Text Indent"/>
    <w:basedOn w:val="BodyText"/>
    <w:next w:val="BodyTextFirstIndent"/>
    <w:pPr>
      <w:ind w:left="720" w:right="720"/>
    </w:pPr>
  </w:style>
  <w:style w:type="paragraph" w:styleId="BodyTextFirstIndent2">
    <w:name w:val="Body Text First Indent 2"/>
    <w:basedOn w:val="BodyText"/>
    <w:pPr>
      <w:spacing w:line="480" w:lineRule="auto"/>
      <w:ind w:firstLine="720"/>
    </w:pPr>
  </w:style>
  <w:style w:type="paragraph" w:styleId="BodyTextIndent15" w:customStyle="1">
    <w:name w:val="Body Text Indent 1.5"/>
    <w:basedOn w:val="BodyText"/>
    <w:next w:val="BodyTextFirstIndent15"/>
    <w:pPr>
      <w:spacing w:line="360" w:lineRule="auto"/>
      <w:ind w:left="720" w:right="720"/>
    </w:pPr>
  </w:style>
  <w:style w:type="paragraph" w:styleId="BodyTextIndent2">
    <w:name w:val="Body Text Indent 2"/>
    <w:basedOn w:val="BodyText"/>
    <w:next w:val="BodyTextFirstIndent2"/>
    <w:pPr>
      <w:spacing w:line="480" w:lineRule="auto"/>
      <w:ind w:left="720" w:right="720"/>
    </w:pPr>
  </w:style>
  <w:style w:type="paragraph" w:styleId="BodyTextIndent3">
    <w:name w:val="Body Text Indent 3"/>
    <w:basedOn w:val="Normal"/>
    <w:pPr>
      <w:spacing w:after="120"/>
      <w:ind w:left="360"/>
    </w:pPr>
    <w:rPr>
      <w:sz w:val="16"/>
      <w:szCs w:val="16"/>
    </w:rPr>
  </w:style>
  <w:style w:type="paragraph" w:styleId="BodyTextLeft" w:customStyle="1">
    <w:name w:val="Body Text Left"/>
    <w:basedOn w:val="BodyText"/>
  </w:style>
  <w:style w:type="paragraph" w:styleId="BriefAppendix" w:customStyle="1">
    <w:name w:val="Brief Appendix"/>
    <w:basedOn w:val="Normal"/>
    <w:pPr>
      <w:tabs>
        <w:tab w:val="right" w:leader="dot" w:pos="9360"/>
      </w:tabs>
    </w:pPr>
    <w:rPr>
      <w:sz w:val="26"/>
      <w:szCs w:val="28"/>
    </w:rPr>
  </w:style>
  <w:style w:type="paragraph" w:styleId="Caption">
    <w:name w:val="caption"/>
    <w:basedOn w:val="Normal"/>
    <w:next w:val="Normal"/>
    <w:uiPriority w:val="35"/>
    <w:qFormat/>
    <w:pPr>
      <w:spacing w:before="120" w:after="120"/>
    </w:pPr>
    <w:rPr>
      <w:b/>
      <w:bCs/>
      <w:sz w:val="20"/>
      <w:szCs w:val="20"/>
    </w:rPr>
  </w:style>
  <w:style w:type="paragraph" w:styleId="CaptionParties" w:customStyle="1">
    <w:name w:val="Caption Parties"/>
    <w:basedOn w:val="BodyText"/>
    <w:pPr>
      <w:tabs>
        <w:tab w:val="right" w:pos="4320"/>
        <w:tab w:val="center" w:pos="7200"/>
        <w:tab w:val="right" w:pos="8640"/>
      </w:tabs>
    </w:pPr>
    <w:rPr>
      <w:szCs w:val="20"/>
    </w:rPr>
  </w:style>
  <w:style w:type="paragraph" w:styleId="Closing">
    <w:name w:val="Closing"/>
    <w:basedOn w:val="Normal"/>
    <w:pPr>
      <w:ind w:left="4320"/>
    </w:pPr>
  </w:style>
  <w:style w:type="character" w:styleId="CommentReference">
    <w:name w:val="annotation reference"/>
    <w:rPr>
      <w:sz w:val="16"/>
      <w:szCs w:val="16"/>
    </w:rPr>
  </w:style>
  <w:style w:type="paragraph" w:styleId="CommentText">
    <w:name w:val="annotation text"/>
    <w:basedOn w:val="BodyText"/>
    <w:link w:val="CommentTextChar"/>
    <w:rPr>
      <w:sz w:val="20"/>
      <w:szCs w:val="20"/>
    </w:rPr>
  </w:style>
  <w:style w:type="paragraph" w:styleId="CommentSubject">
    <w:name w:val="annotation subject"/>
    <w:basedOn w:val="CommentText"/>
    <w:next w:val="CommentText"/>
    <w:rPr>
      <w:b/>
      <w:bCs/>
    </w:rPr>
  </w:style>
  <w:style w:type="paragraph" w:styleId="CountyPleading" w:customStyle="1">
    <w:name w:val="County Pleading"/>
    <w:basedOn w:val="BodyText"/>
    <w:pPr>
      <w:tabs>
        <w:tab w:val="right" w:pos="9360"/>
      </w:tabs>
    </w:pPr>
    <w:rPr>
      <w:rFonts w:ascii="Times New Roman Bold" w:hAnsi="Times New Roman Bold"/>
      <w:b/>
      <w:caps/>
    </w:rPr>
  </w:style>
  <w:style w:type="paragraph" w:styleId="Date">
    <w:name w:val="Date"/>
    <w:basedOn w:val="Normal"/>
    <w:next w:val="BodyText"/>
  </w:style>
  <w:style w:type="paragraph" w:styleId="DoubleIndent" w:customStyle="1">
    <w:name w:val="Double Indent"/>
    <w:basedOn w:val="BodyText"/>
    <w:next w:val="BodyTextFirstIndent"/>
    <w:pPr>
      <w:ind w:left="720" w:right="720"/>
    </w:pPr>
  </w:style>
  <w:style w:type="paragraph" w:styleId="E-mailSignature">
    <w:name w:val="E-mail Signature"/>
    <w:basedOn w:val="Normal"/>
  </w:style>
  <w:style w:type="character" w:styleId="Emphasis">
    <w:name w:val="Emphasis"/>
    <w:qFormat/>
    <w:rPr>
      <w:i/>
      <w:iCs/>
    </w:rPr>
  </w:style>
  <w:style w:type="character" w:styleId="EndnoteReference">
    <w:name w:val="endnote reference"/>
    <w:rPr>
      <w:vertAlign w:val="superscript"/>
    </w:rPr>
  </w:style>
  <w:style w:type="paragraph" w:styleId="EndnoteText">
    <w:name w:val="endnote text"/>
    <w:basedOn w:val="BodyText"/>
    <w:rPr>
      <w:sz w:val="20"/>
      <w:szCs w:val="20"/>
    </w:rPr>
  </w:style>
  <w:style w:type="paragraph" w:styleId="EnvelopeAddress">
    <w:name w:val="envelope address"/>
    <w:basedOn w:val="Normal"/>
    <w:pPr>
      <w:framePr w:w="7920" w:h="1980" w:hSpace="180" w:wrap="auto" w:hAnchor="page" w:xAlign="center" w:yAlign="bottom" w:hRule="exact"/>
      <w:ind w:left="2880"/>
    </w:pPr>
    <w:rPr>
      <w:rFonts w:cs="Arial"/>
    </w:rPr>
  </w:style>
  <w:style w:type="paragraph" w:styleId="EnvelopeReturn">
    <w:name w:val="envelope return"/>
    <w:basedOn w:val="Normal"/>
    <w:rPr>
      <w:rFonts w:cs="Arial"/>
      <w:sz w:val="20"/>
      <w:szCs w:val="20"/>
    </w:rPr>
  </w:style>
  <w:style w:type="character" w:styleId="FollowedHyperlink">
    <w:name w:val="FollowedHyperlink"/>
    <w:rPr>
      <w:color w:val="800080"/>
      <w:u w:val="single"/>
    </w:rPr>
  </w:style>
  <w:style w:type="paragraph" w:styleId="Footer">
    <w:name w:val="footer"/>
    <w:basedOn w:val="Normal"/>
    <w:link w:val="FooterChar"/>
    <w:uiPriority w:val="99"/>
    <w:pPr>
      <w:tabs>
        <w:tab w:val="center" w:pos="4680"/>
        <w:tab w:val="right" w:pos="9360"/>
      </w:tabs>
    </w:pPr>
    <w:rPr>
      <w:lang w:val="x-none" w:eastAsia="x-none"/>
    </w:rPr>
  </w:style>
  <w:style w:type="character" w:styleId="FootnoteReference">
    <w:name w:val="footnote reference"/>
    <w:rPr>
      <w:vertAlign w:val="superscript"/>
    </w:rPr>
  </w:style>
  <w:style w:type="paragraph" w:styleId="FootnoteText">
    <w:name w:val="footnote text"/>
    <w:basedOn w:val="BodyText"/>
    <w:link w:val="FootnoteTextChar"/>
  </w:style>
  <w:style w:type="paragraph" w:styleId="Header">
    <w:name w:val="header"/>
    <w:basedOn w:val="Normal"/>
    <w:next w:val="BodyText"/>
    <w:link w:val="HeaderChar"/>
    <w:uiPriority w:val="99"/>
    <w:pPr>
      <w:tabs>
        <w:tab w:val="center" w:pos="4680"/>
        <w:tab w:val="right" w:pos="9360"/>
      </w:tabs>
    </w:pPr>
    <w:rPr>
      <w:lang w:val="x-none" w:eastAsia="x-none"/>
    </w:rPr>
  </w:style>
  <w:style w:type="character" w:styleId="HTMLAcronym">
    <w:name w:val="HTML Acronym"/>
    <w:basedOn w:val="DefaultParagraphFont"/>
  </w:style>
  <w:style w:type="paragraph" w:styleId="HTMLAddress">
    <w:name w:val="HTML Address"/>
    <w:basedOn w:val="Normal"/>
    <w:rPr>
      <w:i/>
      <w:iCs/>
    </w:rPr>
  </w:style>
  <w:style w:type="character" w:styleId="HTMLCite">
    <w:name w:val="HTML Cite"/>
    <w:rPr>
      <w:i/>
      <w:iCs/>
    </w:rPr>
  </w:style>
  <w:style w:type="character" w:styleId="HTMLCode">
    <w:name w:val="HTML Code"/>
    <w:rPr>
      <w:rFonts w:ascii="Courier New" w:hAnsi="Courier New" w:cs="Courier New"/>
      <w:sz w:val="20"/>
      <w:szCs w:val="20"/>
    </w:rPr>
  </w:style>
  <w:style w:type="character" w:styleId="HTMLDefinition">
    <w:name w:val="HTML Definition"/>
    <w:rPr>
      <w:i/>
      <w:iCs/>
    </w:rPr>
  </w:style>
  <w:style w:type="character" w:styleId="HTMLKeyboard">
    <w:name w:val="HTML Keyboard"/>
    <w:rPr>
      <w:rFonts w:ascii="Courier New" w:hAnsi="Courier New" w:cs="Courier New"/>
      <w:sz w:val="20"/>
      <w:szCs w:val="20"/>
    </w:rPr>
  </w:style>
  <w:style w:type="paragraph" w:styleId="HTMLPreformatted">
    <w:name w:val="HTML Preformatted"/>
    <w:basedOn w:val="Normal"/>
    <w:rPr>
      <w:rFonts w:ascii="Courier New" w:hAnsi="Courier New" w:cs="Courier New"/>
      <w:sz w:val="20"/>
      <w:szCs w:val="20"/>
    </w:rPr>
  </w:style>
  <w:style w:type="character" w:styleId="HTMLSample">
    <w:name w:val="HTML Sample"/>
    <w:rPr>
      <w:rFonts w:ascii="Courier New" w:hAnsi="Courier New" w:cs="Courier New"/>
    </w:rPr>
  </w:style>
  <w:style w:type="character" w:styleId="HTMLTypewriter">
    <w:name w:val="HTML Typewriter"/>
    <w:rPr>
      <w:rFonts w:ascii="Courier New" w:hAnsi="Courier New" w:cs="Courier New"/>
      <w:sz w:val="20"/>
      <w:szCs w:val="20"/>
    </w:rPr>
  </w:style>
  <w:style w:type="character" w:styleId="HTMLVariable">
    <w:name w:val="HTML Variable"/>
    <w:rPr>
      <w:i/>
      <w:iCs/>
    </w:rPr>
  </w:style>
  <w:style w:type="character" w:styleId="Hyperlink">
    <w:name w:val="Hyperlink"/>
    <w:uiPriority w:val="99"/>
    <w:rPr>
      <w:color w:val="0000FF"/>
      <w:u w:val="single"/>
    </w:rPr>
  </w:style>
  <w:style w:type="paragraph" w:styleId="Index1">
    <w:name w:val="index 1"/>
    <w:basedOn w:val="Normal"/>
    <w:next w:val="Normal"/>
    <w:autoRedefine/>
    <w:pPr>
      <w:ind w:left="240" w:hanging="240"/>
    </w:pPr>
  </w:style>
  <w:style w:type="paragraph" w:styleId="IndexHeading">
    <w:name w:val="index heading"/>
    <w:basedOn w:val="BodyText"/>
    <w:next w:val="BodyText"/>
    <w:pPr>
      <w:jc w:val="center"/>
    </w:pPr>
    <w:rPr>
      <w:rFonts w:cs="Arial"/>
      <w:b/>
      <w:bCs/>
    </w:rPr>
  </w:style>
  <w:style w:type="character" w:styleId="LineNumber">
    <w:name w:val="line number"/>
    <w:basedOn w:val="DefaultParagraphFont"/>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3"/>
      </w:numPr>
      <w:ind w:left="0" w:firstLine="0"/>
    </w:pPr>
  </w:style>
  <w:style w:type="paragraph" w:styleId="ListBullet2">
    <w:name w:val="List Bullet 2"/>
    <w:basedOn w:val="Normal"/>
    <w:autoRedefine/>
    <w:pPr>
      <w:numPr>
        <w:numId w:val="4"/>
      </w:numPr>
      <w:tabs>
        <w:tab w:val="clear" w:pos="720"/>
        <w:tab w:val="num" w:pos="360"/>
      </w:tabs>
      <w:ind w:left="0" w:firstLine="0"/>
    </w:pPr>
  </w:style>
  <w:style w:type="paragraph" w:styleId="ListBullet3">
    <w:name w:val="List Bullet 3"/>
    <w:basedOn w:val="Normal"/>
    <w:autoRedefine/>
    <w:pPr>
      <w:numPr>
        <w:numId w:val="5"/>
      </w:numPr>
      <w:tabs>
        <w:tab w:val="clear" w:pos="1080"/>
        <w:tab w:val="num" w:pos="360"/>
      </w:tabs>
      <w:ind w:left="0" w:firstLine="0"/>
    </w:pPr>
  </w:style>
  <w:style w:type="paragraph" w:styleId="ListBullet4">
    <w:name w:val="List Bullet 4"/>
    <w:basedOn w:val="Normal"/>
    <w:autoRedefine/>
    <w:pPr>
      <w:numPr>
        <w:numId w:val="6"/>
      </w:numPr>
      <w:tabs>
        <w:tab w:val="clear" w:pos="1440"/>
        <w:tab w:val="num" w:pos="360"/>
      </w:tabs>
      <w:ind w:left="0" w:firstLine="0"/>
    </w:pPr>
  </w:style>
  <w:style w:type="paragraph" w:styleId="ListBullet5">
    <w:name w:val="List Bullet 5"/>
    <w:basedOn w:val="Normal"/>
    <w:autoRedefine/>
    <w:pPr>
      <w:numPr>
        <w:numId w:val="7"/>
      </w:numPr>
      <w:tabs>
        <w:tab w:val="clear" w:pos="1800"/>
        <w:tab w:val="num" w:pos="360"/>
      </w:tabs>
      <w:ind w:left="0" w:firstLine="0"/>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8"/>
      </w:numPr>
      <w:ind w:left="0" w:firstLine="0"/>
    </w:pPr>
  </w:style>
  <w:style w:type="paragraph" w:styleId="ListNumber2">
    <w:name w:val="List Number 2"/>
    <w:basedOn w:val="Normal"/>
    <w:pPr>
      <w:numPr>
        <w:numId w:val="9"/>
      </w:numPr>
      <w:tabs>
        <w:tab w:val="clear" w:pos="720"/>
        <w:tab w:val="num" w:pos="360"/>
      </w:tabs>
      <w:ind w:left="0" w:firstLine="0"/>
    </w:pPr>
  </w:style>
  <w:style w:type="paragraph" w:styleId="ListNumber3">
    <w:name w:val="List Number 3"/>
    <w:basedOn w:val="Normal"/>
    <w:pPr>
      <w:numPr>
        <w:numId w:val="10"/>
      </w:numPr>
      <w:tabs>
        <w:tab w:val="clear" w:pos="1080"/>
        <w:tab w:val="num" w:pos="360"/>
      </w:tabs>
      <w:ind w:left="0" w:firstLine="0"/>
    </w:pPr>
  </w:style>
  <w:style w:type="paragraph" w:styleId="ListNumber4">
    <w:name w:val="List Number 4"/>
    <w:basedOn w:val="Normal"/>
    <w:pPr>
      <w:numPr>
        <w:numId w:val="11"/>
      </w:numPr>
      <w:tabs>
        <w:tab w:val="clear" w:pos="1440"/>
        <w:tab w:val="num" w:pos="360"/>
      </w:tabs>
      <w:ind w:left="0" w:firstLine="0"/>
    </w:pPr>
  </w:style>
  <w:style w:type="paragraph" w:styleId="ListNumber5">
    <w:name w:val="List Number 5"/>
    <w:basedOn w:val="Normal"/>
    <w:pPr>
      <w:numPr>
        <w:numId w:val="12"/>
      </w:numPr>
      <w:tabs>
        <w:tab w:val="clear" w:pos="1800"/>
        <w:tab w:val="num" w:pos="360"/>
      </w:tabs>
      <w:ind w:left="0" w:firstLine="0"/>
    </w:pPr>
  </w:style>
  <w:style w:type="paragraph" w:styleId="MacroText">
    <w:name w:val="macro"/>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BodyText"/>
    <w:pPr>
      <w:pBdr>
        <w:top w:val="single" w:color="auto" w:sz="6" w:space="1"/>
        <w:left w:val="single" w:color="auto" w:sz="6" w:space="1"/>
        <w:bottom w:val="single" w:color="auto" w:sz="6" w:space="1"/>
        <w:right w:val="single" w:color="auto" w:sz="6" w:space="1"/>
      </w:pBdr>
      <w:shd w:val="pct20" w:color="auto" w:fill="auto"/>
      <w:ind w:left="1080" w:hanging="1080"/>
    </w:pPr>
    <w:rPr>
      <w:rFonts w:cs="Arial"/>
    </w:rPr>
  </w:style>
  <w:style w:type="paragraph" w:styleId="NormalWeb">
    <w:name w:val="Normal (Web)"/>
    <w:basedOn w:val="Normal"/>
  </w:style>
  <w:style w:type="paragraph" w:styleId="NormalIndent">
    <w:name w:val="Normal Indent"/>
    <w:basedOn w:val="Normal"/>
    <w:pPr>
      <w:ind w:left="720"/>
    </w:pPr>
  </w:style>
  <w:style w:type="paragraph" w:styleId="NoteHeading">
    <w:name w:val="Note Heading"/>
    <w:basedOn w:val="Normal"/>
    <w:next w:val="Normal"/>
  </w:style>
  <w:style w:type="character" w:styleId="PageNumber">
    <w:name w:val="page number"/>
    <w:rPr>
      <w:rFonts w:ascii="Times New Roman" w:hAnsi="Times New Roman"/>
      <w:sz w:val="24"/>
      <w:szCs w:val="24"/>
    </w:rPr>
  </w:style>
  <w:style w:type="paragraph" w:styleId="PlainText">
    <w:name w:val="Plain Text"/>
    <w:basedOn w:val="Normal"/>
    <w:link w:val="PlainTextChar"/>
    <w:uiPriority w:val="99"/>
    <w:rPr>
      <w:rFonts w:ascii="Courier New" w:hAnsi="Courier New" w:cs="Courier New"/>
      <w:sz w:val="20"/>
      <w:szCs w:val="20"/>
    </w:rPr>
  </w:style>
  <w:style w:type="paragraph" w:styleId="PleadingEnd" w:customStyle="1">
    <w:name w:val="Pleading End"/>
    <w:basedOn w:val="Normal"/>
    <w:pPr>
      <w:ind w:left="4680" w:hanging="4680"/>
    </w:pPr>
  </w:style>
  <w:style w:type="paragraph" w:styleId="PleadingSignature" w:customStyle="1">
    <w:name w:val="Pleading Signature"/>
    <w:basedOn w:val="BodyText"/>
    <w:pPr>
      <w:tabs>
        <w:tab w:val="left" w:pos="4680"/>
        <w:tab w:val="left" w:leader="underscore" w:pos="9360"/>
      </w:tabs>
    </w:pPr>
  </w:style>
  <w:style w:type="paragraph" w:styleId="ReLine" w:customStyle="1">
    <w:name w:val="Re: Line"/>
    <w:basedOn w:val="BodyText"/>
    <w:next w:val="BodyText"/>
    <w:pPr>
      <w:ind w:left="1440" w:right="720" w:hanging="720"/>
    </w:pPr>
    <w:rPr>
      <w:b/>
    </w:rPr>
  </w:style>
  <w:style w:type="paragraph" w:styleId="RightTab65" w:customStyle="1">
    <w:name w:val="Right Tab (6.5)"/>
    <w:basedOn w:val="BodyText"/>
    <w:pPr>
      <w:tabs>
        <w:tab w:val="right" w:pos="9360"/>
      </w:tabs>
    </w:pPr>
  </w:style>
  <w:style w:type="paragraph" w:styleId="Salutation">
    <w:name w:val="Salutation"/>
    <w:basedOn w:val="Normal"/>
    <w:next w:val="Normal"/>
  </w:style>
  <w:style w:type="paragraph" w:styleId="Signature">
    <w:name w:val="Signature"/>
    <w:basedOn w:val="BodyText"/>
    <w:link w:val="SignatureChar"/>
    <w:qFormat/>
    <w:pPr>
      <w:keepNext/>
      <w:tabs>
        <w:tab w:val="right" w:leader="underscore" w:pos="9360"/>
      </w:tabs>
      <w:ind w:left="4680"/>
    </w:pPr>
  </w:style>
  <w:style w:type="character" w:styleId="Strong">
    <w:name w:val="Strong"/>
    <w:qFormat/>
    <w:rPr>
      <w:b/>
      <w:bCs/>
    </w:rPr>
  </w:style>
  <w:style w:type="paragraph" w:styleId="Subtitle">
    <w:name w:val="Subtitle"/>
    <w:basedOn w:val="BodyText"/>
    <w:next w:val="BodyText"/>
    <w:link w:val="SubtitleChar"/>
    <w:qFormat/>
    <w:pPr>
      <w:jc w:val="center"/>
    </w:pPr>
  </w:style>
  <w:style w:type="table" w:styleId="Table3Deffects1">
    <w:name w:val="Table 3D effects 1"/>
    <w:basedOn w:val="TableNormal"/>
    <w:tblPr/>
    <w:tcPr>
      <w:shd w:val="solid" w:color="C0C0C0" w:fill="FFFFFF"/>
    </w:tcPr>
    <w:tblStylePr w:type="firstRow">
      <w:rPr>
        <w:b/>
        <w:bCs/>
        <w:color w:val="800080"/>
      </w:rPr>
      <w:tblPr/>
      <w:tcPr>
        <w:tcBorders>
          <w:bottom w:val="single" w:color="808080" w:sz="6" w:space="0"/>
          <w:tl2br w:val="none" w:color="auto" w:sz="0" w:space="0"/>
          <w:tr2bl w:val="none" w:color="auto" w:sz="0" w:space="0"/>
        </w:tcBorders>
      </w:tcPr>
    </w:tblStylePr>
    <w:tblStylePr w:type="lastRow">
      <w:tblPr/>
      <w:tcPr>
        <w:tcBorders>
          <w:top w:val="single" w:color="FFFFFF" w:sz="6" w:space="0"/>
          <w:tl2br w:val="none" w:color="auto" w:sz="0" w:space="0"/>
          <w:tr2bl w:val="none" w:color="auto" w:sz="0" w:space="0"/>
        </w:tcBorders>
      </w:tcPr>
    </w:tblStylePr>
    <w:tblStylePr w:type="firstCol">
      <w:rPr>
        <w:b/>
        <w:bCs/>
      </w:rPr>
      <w:tblPr/>
      <w:tcPr>
        <w:tcBorders>
          <w:right w:val="single" w:color="808080" w:sz="6" w:space="0"/>
          <w:tl2br w:val="none" w:color="auto" w:sz="0" w:space="0"/>
          <w:tr2bl w:val="none" w:color="auto" w:sz="0" w:space="0"/>
        </w:tcBorders>
      </w:tcPr>
    </w:tblStylePr>
    <w:tblStylePr w:type="lastCol">
      <w:tblPr/>
      <w:tcPr>
        <w:tcBorders>
          <w:left w:val="single" w:color="FFFFFF" w:sz="6" w:space="0"/>
          <w:tl2br w:val="none" w:color="auto" w:sz="0" w:space="0"/>
          <w:tr2bl w:val="none" w:color="auto" w:sz="0" w:space="0"/>
        </w:tcBorders>
      </w:tcPr>
    </w:tblStylePr>
    <w:tblStylePr w:type="neCell">
      <w:tblPr/>
      <w:tcPr>
        <w:tcBorders>
          <w:left w:val="none" w:color="auto" w:sz="0" w:space="0"/>
          <w:bottom w:val="none" w:color="auto" w:sz="0" w:space="0"/>
          <w:tl2br w:val="none" w:color="auto" w:sz="0" w:space="0"/>
          <w:tr2bl w:val="none" w:color="auto" w:sz="0" w:space="0"/>
        </w:tcBorders>
      </w:tcPr>
    </w:tblStylePr>
    <w:tblStylePr w:type="nwCell">
      <w:tblPr/>
      <w:tcPr>
        <w:tcBorders>
          <w:bottom w:val="none" w:color="auto" w:sz="0" w:space="0"/>
          <w:right w:val="none" w:color="auto" w:sz="0" w:space="0"/>
          <w:tl2br w:val="none" w:color="auto" w:sz="0" w:space="0"/>
          <w:tr2bl w:val="none" w:color="auto" w:sz="0" w:space="0"/>
        </w:tcBorders>
      </w:tcPr>
    </w:tblStylePr>
    <w:tblStylePr w:type="seCell">
      <w:tblPr/>
      <w:tcPr>
        <w:tcBorders>
          <w:top w:val="none" w:color="auto" w:sz="0" w:space="0"/>
          <w:left w:val="none" w:color="auto" w:sz="0" w:space="0"/>
          <w:tl2br w:val="none" w:color="auto" w:sz="0" w:space="0"/>
          <w:tr2bl w:val="none" w:color="auto" w:sz="0" w:space="0"/>
        </w:tcBorders>
      </w:tcPr>
    </w:tblStylePr>
    <w:tblStylePr w:type="swCell">
      <w:rPr>
        <w:color w:val="000080"/>
      </w:rPr>
      <w:tblPr/>
      <w:tcPr>
        <w:tcBorders>
          <w:top w:val="none" w:color="auto" w:sz="0" w:space="0"/>
          <w:right w:val="none" w:color="auto" w:sz="0" w:space="0"/>
          <w:tl2br w:val="none" w:color="auto" w:sz="0" w:space="0"/>
          <w:tr2bl w:val="none" w:color="auto" w:sz="0" w:space="0"/>
        </w:tcBorders>
      </w:tcPr>
    </w:tblStylePr>
  </w:style>
  <w:style w:type="table" w:styleId="Table3Deffects2">
    <w:name w:val="Table 3D effects 2"/>
    <w:basedOn w:val="TableNormal"/>
    <w:tblPr>
      <w:tblStyleRowBandSize w:val="1"/>
    </w:tblPr>
    <w:tcPr>
      <w:shd w:val="solid" w:color="C0C0C0" w:fill="FFFFFF"/>
    </w:tc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3Deffects3">
    <w:name w:val="Table 3D effects 3"/>
    <w:basedOn w:val="TableNormal"/>
    <w:tblPr>
      <w:tblStyleRowBandSize w:val="1"/>
      <w:tblStyleColBandSize w:val="1"/>
    </w:tblPr>
    <w:tblStylePr w:type="firstRow">
      <w:rPr>
        <w:b/>
        <w:bCs/>
      </w:rPr>
      <w:tblPr/>
      <w:tcPr>
        <w:tcBorders>
          <w:tl2br w:val="none" w:color="auto" w:sz="0" w:space="0"/>
          <w:tr2bl w:val="none" w:color="auto" w:sz="0" w:space="0"/>
        </w:tcBorders>
      </w:tcPr>
    </w:tblStylePr>
    <w:tblStylePr w:type="firstCol">
      <w:tblPr/>
      <w:tcPr>
        <w:tcBorders>
          <w:top w:val="none" w:color="auto" w:sz="0" w:space="0"/>
          <w:bottom w:val="none" w:color="auto" w:sz="0" w:space="0"/>
          <w:right w:val="single" w:color="808080" w:sz="6" w:space="0"/>
          <w:tl2br w:val="none" w:color="auto" w:sz="0" w:space="0"/>
          <w:tr2bl w:val="none" w:color="auto" w:sz="0" w:space="0"/>
        </w:tcBorders>
      </w:tcPr>
    </w:tblStylePr>
    <w:tblStylePr w:type="lastCol">
      <w:tblPr/>
      <w:tcPr>
        <w:tcBorders>
          <w:right w:val="single" w:color="FFFFFF" w:sz="6" w:space="0"/>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BoldTitle" w:customStyle="1">
    <w:name w:val="Table Bold Title"/>
    <w:basedOn w:val="BodyText"/>
    <w:pPr>
      <w:jc w:val="center"/>
    </w:pPr>
    <w:rPr>
      <w:b/>
    </w:rPr>
  </w:style>
  <w:style w:type="table" w:styleId="TableClassic1">
    <w:name w:val="Table Classic 1"/>
    <w:basedOn w:val="TableNormal"/>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tblPr/>
      <w:tcPr>
        <w:tcBorders>
          <w:right w:val="single" w:color="000000" w:sz="6" w:space="0"/>
          <w:tl2br w:val="none" w:color="auto" w:sz="0" w:space="0"/>
          <w:tr2bl w:val="none" w:color="auto" w:sz="0" w:space="0"/>
        </w:tcBorders>
      </w:tcPr>
    </w:tblStylePr>
    <w:tblStylePr w:type="neCell">
      <w:rPr>
        <w:b/>
        <w:bCs/>
        <w:i w:val="0"/>
        <w:iCs w:val="0"/>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lassic2">
    <w:name w:val="Table Classic 2"/>
    <w:basedOn w:val="TableNormal"/>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one" w:color="auto" w:sz="0" w:space="0"/>
          <w:tr2bl w:val="none" w:color="auto" w:sz="0" w:space="0"/>
        </w:tcBorders>
        <w:shd w:val="solid" w:color="800080" w:fill="FFFFFF"/>
      </w:tcPr>
    </w:tblStylePr>
    <w:tblStylePr w:type="lastRow">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shd w:val="solid" w:color="C0C0C0" w:fill="FFFFFF"/>
      </w:tcPr>
    </w:tblStylePr>
    <w:tblStylePr w:type="neCell">
      <w:rPr>
        <w:b/>
        <w:bCs/>
      </w:rPr>
      <w:tblPr/>
      <w:tcPr>
        <w:tcBorders>
          <w:tl2br w:val="none" w:color="auto" w:sz="0" w:space="0"/>
          <w:tr2bl w:val="none" w:color="auto" w:sz="0" w:space="0"/>
        </w:tcBorders>
      </w:tcPr>
    </w:tblStylePr>
    <w:tblStylePr w:type="nwCell">
      <w:tblPr/>
      <w:tcPr>
        <w:tcBorders>
          <w:tl2br w:val="none" w:color="auto" w:sz="0" w:space="0"/>
          <w:tr2bl w:val="none" w:color="auto" w:sz="0" w:space="0"/>
        </w:tcBorders>
        <w:shd w:val="solid" w:color="800080" w:fill="FFFFFF"/>
      </w:tcPr>
    </w:tblStylePr>
    <w:tblStylePr w:type="swCell">
      <w:rPr>
        <w:color w:val="000080"/>
      </w:rPr>
      <w:tblPr/>
      <w:tcPr>
        <w:tcBorders>
          <w:tl2br w:val="none" w:color="auto" w:sz="0" w:space="0"/>
          <w:tr2bl w:val="none" w:color="auto" w:sz="0" w:space="0"/>
        </w:tcBorders>
      </w:tcPr>
    </w:tblStylePr>
  </w:style>
  <w:style w:type="table" w:styleId="TableClassic3">
    <w:name w:val="Table Classic 3"/>
    <w:basedOn w:val="TableNormal"/>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one" w:color="auto" w:sz="0" w:space="0"/>
          <w:tr2bl w:val="none" w:color="auto" w:sz="0" w:space="0"/>
        </w:tcBorders>
        <w:shd w:val="solid" w:color="000080" w:fill="FFFFFF"/>
      </w:tcPr>
    </w:tblStylePr>
    <w:tblStylePr w:type="lastRow">
      <w:rPr>
        <w:color w:val="000080"/>
      </w:rPr>
      <w:tblPr/>
      <w:tcPr>
        <w:tcBorders>
          <w:top w:val="single" w:color="000000" w:sz="12" w:space="0"/>
          <w:tl2br w:val="none" w:color="auto" w:sz="0" w:space="0"/>
          <w:tr2bl w:val="none" w:color="auto" w:sz="0" w:space="0"/>
        </w:tcBorders>
        <w:shd w:val="solid" w:color="FFFFFF" w:fill="FFFFFF"/>
      </w:tcPr>
    </w:tblStylePr>
    <w:tblStylePr w:type="firstCol">
      <w:rPr>
        <w:b/>
        <w:bCs/>
        <w:color w:val="000000"/>
      </w:rPr>
      <w:tblPr/>
      <w:tcPr>
        <w:tcBorders>
          <w:tl2br w:val="none" w:color="auto" w:sz="0" w:space="0"/>
          <w:tr2bl w:val="none" w:color="auto" w:sz="0" w:space="0"/>
        </w:tcBorders>
      </w:tcPr>
    </w:tblStylePr>
  </w:style>
  <w:style w:type="table" w:styleId="TableClassic4">
    <w:name w:val="Table Classic 4"/>
    <w:basedOn w:val="TableNormal"/>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one" w:color="auto" w:sz="0" w:space="0"/>
          <w:tr2bl w:val="none" w:color="auto" w:sz="0" w:space="0"/>
        </w:tcBorders>
        <w:shd w:val="pct50" w:color="000080" w:fill="FFFFFF"/>
      </w:tcPr>
    </w:tblStylePr>
    <w:tblStylePr w:type="lastRow">
      <w:rPr>
        <w:color w:val="000080"/>
      </w:rPr>
      <w:tblPr/>
      <w:tcPr>
        <w:tcBorders>
          <w:bottom w:val="single" w:color="000000" w:sz="6" w:space="0"/>
          <w:tl2br w:val="none" w:color="auto" w:sz="0" w:space="0"/>
          <w:tr2bl w:val="none" w:color="auto" w:sz="0" w:space="0"/>
        </w:tcBorders>
        <w:shd w:val="pct50" w:color="000000" w:fill="FFFFFF"/>
      </w:tcPr>
    </w:tblStylePr>
    <w:tblStylePr w:type="firstCol">
      <w:rPr>
        <w:b/>
        <w:bCs/>
      </w:rPr>
      <w:tblPr/>
      <w:tcPr>
        <w:tcBorders>
          <w:tl2br w:val="none" w:color="auto" w:sz="0" w:space="0"/>
          <w:tr2bl w:val="none" w:color="auto" w:sz="0" w:space="0"/>
        </w:tcBorders>
      </w:tcPr>
    </w:tblStylePr>
    <w:tblStylePr w:type="nwCell">
      <w:rPr>
        <w:b/>
        <w:bCs/>
      </w:rPr>
      <w:tblPr/>
      <w:tcPr>
        <w:tcBorders>
          <w:tl2br w:val="none" w:color="auto" w:sz="0" w:space="0"/>
          <w:tr2bl w:val="none" w:color="auto" w:sz="0" w:space="0"/>
        </w:tcBorders>
      </w:tcPr>
    </w:tblStylePr>
    <w:tblStylePr w:type="swCell">
      <w:rPr>
        <w:color w:val="000080"/>
      </w:rPr>
      <w:tblPr/>
      <w:tcPr>
        <w:tcBorders>
          <w:tl2br w:val="none" w:color="auto" w:sz="0" w:space="0"/>
          <w:tr2bl w:val="none" w:color="auto" w:sz="0" w:space="0"/>
        </w:tcBorders>
      </w:tcPr>
    </w:tblStylePr>
  </w:style>
  <w:style w:type="table" w:styleId="TableColorful1">
    <w:name w:val="Table Colorful 1"/>
    <w:basedOn w:val="TableNormal"/>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one" w:color="auto" w:sz="0" w:space="0"/>
          <w:tr2bl w:val="none" w:color="auto" w:sz="0" w:space="0"/>
        </w:tcBorders>
        <w:shd w:val="solid" w:color="000000" w:fill="FFFFFF"/>
      </w:tcPr>
    </w:tblStylePr>
    <w:tblStylePr w:type="firstCol">
      <w:rPr>
        <w:b/>
        <w:bCs/>
        <w:i/>
        <w:iCs/>
      </w:rPr>
      <w:tblPr/>
      <w:tcPr>
        <w:tcBorders>
          <w:tl2br w:val="none" w:color="auto" w:sz="0" w:space="0"/>
          <w:tr2bl w:val="none" w:color="auto" w:sz="0" w:space="0"/>
        </w:tcBorders>
        <w:shd w:val="solid" w:color="000080" w:fill="FFFFFF"/>
      </w:tcPr>
    </w:tblStylePr>
    <w:tblStylePr w:type="nwCell">
      <w:tblPr/>
      <w:tcPr>
        <w:tcBorders>
          <w:tl2br w:val="none" w:color="auto" w:sz="0" w:space="0"/>
          <w:tr2bl w:val="none" w:color="auto" w:sz="0" w:space="0"/>
        </w:tcBorders>
        <w:shd w:val="solid" w:color="000000" w:fill="FFFFFF"/>
      </w:tcPr>
    </w:tblStylePr>
    <w:tblStylePr w:type="swCell">
      <w:rPr>
        <w:b/>
        <w:bCs/>
        <w:i w:val="0"/>
        <w:iCs w:val="0"/>
      </w:rPr>
      <w:tblPr/>
      <w:tcPr>
        <w:tcBorders>
          <w:tl2br w:val="none" w:color="auto" w:sz="0" w:space="0"/>
          <w:tr2bl w:val="none" w:color="auto" w:sz="0" w:space="0"/>
        </w:tcBorders>
      </w:tcPr>
    </w:tblStylePr>
  </w:style>
  <w:style w:type="table" w:styleId="TableColorful2">
    <w:name w:val="Table Colorful 2"/>
    <w:basedOn w:val="TableNormal"/>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one" w:color="auto" w:sz="0" w:space="0"/>
          <w:tr2bl w:val="none" w:color="auto" w:sz="0" w:space="0"/>
        </w:tcBorders>
        <w:shd w:val="solid" w:color="800000" w:fill="FFFFFF"/>
      </w:tcPr>
    </w:tblStylePr>
    <w:tblStylePr w:type="firstCol">
      <w:rPr>
        <w:b/>
        <w:bCs/>
        <w:i/>
        <w:iCs/>
      </w:rPr>
      <w:tblPr/>
      <w:tcPr>
        <w:tcBorders>
          <w:tl2br w:val="none" w:color="auto" w:sz="0" w:space="0"/>
          <w:tr2bl w:val="none" w:color="auto" w:sz="0" w:space="0"/>
        </w:tcBorders>
      </w:tcPr>
    </w:tblStylePr>
    <w:tblStylePr w:type="lastCol">
      <w:tblPr/>
      <w:tcPr>
        <w:tcBorders>
          <w:tl2br w:val="none" w:color="auto" w:sz="0" w:space="0"/>
          <w:tr2bl w:val="none" w:color="auto" w:sz="0" w:space="0"/>
        </w:tcBorders>
        <w:shd w:val="solid" w:color="C0C0C0" w:fill="FFFFFF"/>
      </w:tcPr>
    </w:tblStylePr>
    <w:tblStylePr w:type="swCell">
      <w:rPr>
        <w:b/>
        <w:bCs/>
        <w:i w:val="0"/>
        <w:iCs w:val="0"/>
      </w:rPr>
      <w:tblPr/>
      <w:tcPr>
        <w:tcBorders>
          <w:tl2br w:val="none" w:color="auto" w:sz="0" w:space="0"/>
          <w:tr2bl w:val="none" w:color="auto" w:sz="0" w:space="0"/>
        </w:tcBorders>
      </w:tcPr>
    </w:tblStylePr>
  </w:style>
  <w:style w:type="table" w:styleId="TableColorful3">
    <w:name w:val="Table Colorful 3"/>
    <w:basedOn w:val="TableNormal"/>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one" w:color="auto" w:sz="0" w:space="0"/>
          <w:tr2bl w:val="none" w:color="auto" w:sz="0" w:space="0"/>
        </w:tcBorders>
        <w:shd w:val="solid" w:color="008080" w:fill="FFFFFF"/>
      </w:tcPr>
    </w:tblStylePr>
    <w:tblStylePr w:type="firstCol">
      <w:tblPr/>
      <w:tcPr>
        <w:tcBorders>
          <w:left w:val="single" w:color="000000" w:sz="36" w:space="0"/>
          <w:right w:val="single" w:color="000000" w:sz="6" w:space="0"/>
          <w:tl2br w:val="none" w:color="auto" w:sz="0" w:space="0"/>
          <w:tr2bl w:val="none" w:color="auto" w:sz="0" w:space="0"/>
        </w:tcBorders>
        <w:shd w:val="solid" w:color="008080" w:fill="FFFFFF"/>
      </w:tcPr>
    </w:tblStylePr>
    <w:tblStylePr w:type="nwCell">
      <w:rPr>
        <w:b/>
        <w:bCs/>
        <w:color w:val="FFFFFF"/>
      </w:rPr>
      <w:tblPr/>
      <w:tcPr>
        <w:tcBorders>
          <w:tl2br w:val="none" w:color="auto" w:sz="0" w:space="0"/>
          <w:tr2bl w:val="none" w:color="auto" w:sz="0" w:space="0"/>
        </w:tcBorders>
        <w:shd w:val="solid" w:color="000000" w:fill="FFFFFF"/>
      </w:tcPr>
    </w:tblStylePr>
  </w:style>
  <w:style w:type="table" w:styleId="TableColumns1">
    <w:name w:val="Table Columns 1"/>
    <w:basedOn w:val="TableNormal"/>
    <w:rPr>
      <w:b/>
      <w:bCs/>
    </w:rPr>
    <w:tblPr>
      <w:tblStyleColBandSize w:val="1"/>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one" w:color="auto" w:sz="0" w:space="0"/>
          <w:tr2bl w:val="none" w:color="auto" w:sz="0" w:space="0"/>
        </w:tcBorders>
      </w:tcPr>
    </w:tblStylePr>
    <w:tblStylePr w:type="lastRow">
      <w:rPr>
        <w:b w:val="0"/>
        <w:bCs w:val="0"/>
      </w:rPr>
      <w:tblPr/>
      <w:tcPr>
        <w:tcBorders>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2">
    <w:name w:val="Table Columns 2"/>
    <w:basedOn w:val="TableNormal"/>
    <w:rPr>
      <w:b/>
      <w:bCs/>
    </w:rPr>
    <w:tblPr>
      <w:tblStyleColBandSize w:val="1"/>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l2br w:val="none" w:color="auto" w:sz="0" w:space="0"/>
          <w:tr2bl w:val="none" w:color="auto" w:sz="0" w:space="0"/>
        </w:tcBorders>
      </w:tcPr>
    </w:tblStylePr>
    <w:tblStylePr w:type="firstCol">
      <w:rPr>
        <w:b w:val="0"/>
        <w:bCs w:val="0"/>
        <w:color w:val="00000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Columns3">
    <w:name w:val="Table Columns 3"/>
    <w:basedOn w:val="TableNormal"/>
    <w:rPr>
      <w:b/>
      <w:bCs/>
    </w:rPr>
    <w:tblPr>
      <w:tblStyleColBandSize w:val="1"/>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one" w:color="auto" w:sz="0" w:space="0"/>
          <w:tr2bl w:val="none" w:color="auto" w:sz="0" w:space="0"/>
        </w:tcBorders>
        <w:shd w:val="solid" w:color="000080" w:fill="FFFFFF"/>
      </w:tcPr>
    </w:tblStylePr>
    <w:tblStylePr w:type="lastRow">
      <w:rPr>
        <w:b w:val="0"/>
        <w:bCs w:val="0"/>
      </w:rPr>
      <w:tblPr/>
      <w:tcPr>
        <w:tcBorders>
          <w:top w:val="single" w:color="00008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color="auto" w:sz="0" w:space="0"/>
          <w:tr2bl w:val="none" w:color="auto" w:sz="0" w:space="0"/>
        </w:tcBorders>
      </w:tcPr>
    </w:tblStylePr>
  </w:style>
  <w:style w:type="table" w:styleId="TableColumns4">
    <w:name w:val="Table Columns 4"/>
    <w:basedOn w:val="TableNormal"/>
    <w:tblPr>
      <w:tblStyleColBandSize w:val="1"/>
    </w:tblPr>
    <w:tblStylePr w:type="firstRow">
      <w:rPr>
        <w:color w:val="FFFFFF"/>
      </w:rPr>
      <w:tblPr/>
      <w:tcPr>
        <w:tcBorders>
          <w:tl2br w:val="none" w:color="auto" w:sz="0" w:space="0"/>
          <w:tr2bl w:val="none" w:color="auto" w:sz="0" w:space="0"/>
        </w:tcBorders>
        <w:shd w:val="solid" w:color="0000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tblPr>
      <w:tblStyleColBandSize w:val="1"/>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one" w:color="auto" w:sz="0" w:space="0"/>
          <w:tr2bl w:val="none" w:color="auto" w:sz="0" w:space="0"/>
        </w:tcBorders>
      </w:tcPr>
    </w:tblStylePr>
    <w:tblStylePr w:type="lastRow">
      <w:rPr>
        <w:b/>
        <w:bCs/>
      </w:rPr>
      <w:tblPr/>
      <w:tcPr>
        <w:tcBorders>
          <w:top w:val="single" w:color="80808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tblPr>
      <w:tblStyleRowBandSize w:val="1"/>
      <w:tblBorders>
        <w:insideH w:val="single" w:color="FFFFFF" w:sz="18" w:space="0"/>
        <w:insideV w:val="single" w:color="FFFFFF" w:sz="18" w:space="0"/>
      </w:tblBorders>
    </w:tblPr>
    <w:tblStylePr w:type="firstRow">
      <w:rPr>
        <w:b/>
        <w:bCs/>
        <w:color w:val="auto"/>
      </w:rPr>
      <w:tblPr/>
      <w:tcPr>
        <w:tcBorders>
          <w:tl2br w:val="none" w:color="auto" w:sz="0" w:space="0"/>
          <w:tr2bl w:val="none" w:color="auto" w:sz="0" w:space="0"/>
        </w:tcBorders>
        <w:shd w:val="pct20" w:color="000000" w:fill="FFFFFF"/>
      </w:tcPr>
    </w:tblStylePr>
    <w:tblStylePr w:type="band1Horz">
      <w:rPr>
        <w:color w:val="auto"/>
      </w:rPr>
      <w:tblPr/>
      <w:tcPr>
        <w:tcBorders>
          <w:tl2br w:val="none" w:color="auto" w:sz="0" w:space="0"/>
          <w:tr2bl w:val="none" w:color="auto" w:sz="0" w:space="0"/>
        </w:tcBorders>
        <w:shd w:val="pct5" w:color="000000" w:fill="FFFFFF"/>
      </w:tcPr>
    </w:tblStylePr>
    <w:tblStylePr w:type="band2Horz">
      <w:rPr>
        <w:color w:val="auto"/>
      </w:rPr>
      <w:tblPr/>
      <w:tcPr>
        <w:tcBorders>
          <w:tl2br w:val="none" w:color="auto" w:sz="0" w:space="0"/>
          <w:tr2bl w:val="none" w:color="auto" w:sz="0" w:space="0"/>
        </w:tcBorders>
        <w:shd w:val="pct20" w:color="000000" w:fill="FFFFFF"/>
      </w:tcPr>
    </w:tblStylePr>
  </w:style>
  <w:style w:type="table" w:styleId="TableElegant">
    <w:name w:val="Table Elegant"/>
    <w:basedOn w:val="TableNormal"/>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one" w:color="auto" w:sz="0" w:space="0"/>
          <w:tr2bl w:val="none" w:color="auto" w:sz="0" w:space="0"/>
        </w:tcBorders>
      </w:tcPr>
    </w:tblStylePr>
  </w:style>
  <w:style w:type="table" w:styleId="TableGrid">
    <w:name w:val="Table Grid"/>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1">
    <w:name w:val="Table Grid 1"/>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table" w:styleId="TableGrid2">
    <w:name w:val="Table Grid 2"/>
    <w:basedOn w:val="TableNormal"/>
    <w:tblPr>
      <w:tblBorders>
        <w:insideH w:val="single" w:color="000000" w:sz="6" w:space="0"/>
        <w:insideV w:val="single" w:color="000000" w:sz="6" w:space="0"/>
      </w:tblBorders>
    </w:tblPr>
    <w:tcPr>
      <w:shd w:val="clear" w:color="auto" w:fill="auto"/>
    </w:tcPr>
    <w:tblStylePr w:type="firstRow">
      <w:rPr>
        <w:b/>
        <w:bCs/>
      </w:rPr>
      <w:tblPr/>
      <w:tcPr>
        <w:tcBorders>
          <w:tl2br w:val="none" w:color="auto" w:sz="0" w:space="0"/>
          <w:tr2bl w:val="none" w:color="auto" w:sz="0" w:space="0"/>
        </w:tcBorders>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3">
    <w:name w:val="Table Grid 3"/>
    <w:basedOn w:val="TableNormal"/>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one" w:color="auto" w:sz="0" w:space="0"/>
          <w:tr2bl w:val="none" w:color="auto" w:sz="0" w:space="0"/>
        </w:tcBorders>
        <w:shd w:val="pct30" w:color="FFFF00" w:fill="FFFFFF"/>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style>
  <w:style w:type="table" w:styleId="TableGrid4">
    <w:name w:val="Table Grid 4"/>
    <w:basedOn w:val="TableNormal"/>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one" w:color="auto" w:sz="0" w:space="0"/>
          <w:tr2bl w:val="none" w:color="auto" w:sz="0" w:space="0"/>
        </w:tcBorders>
        <w:shd w:val="pct30" w:color="FFFF00" w:fill="FFFFFF"/>
      </w:tcPr>
    </w:tblStylePr>
    <w:tblStylePr w:type="lastRow">
      <w:rPr>
        <w:b/>
        <w:bCs/>
        <w:color w:val="auto"/>
      </w:rPr>
      <w:tblPr/>
      <w:tcPr>
        <w:tcBorders>
          <w:top w:val="single" w:color="000000" w:sz="6" w:space="0"/>
          <w:tl2br w:val="none" w:color="auto" w:sz="0" w:space="0"/>
          <w:tr2bl w:val="none" w:color="auto" w:sz="0" w:space="0"/>
        </w:tcBorders>
        <w:shd w:val="pct30" w:color="FFFF00" w:fill="FFFFFF"/>
      </w:tcPr>
    </w:tblStylePr>
    <w:tblStylePr w:type="lastCol">
      <w:rPr>
        <w:b/>
        <w:bCs/>
        <w:color w:val="auto"/>
      </w:rPr>
      <w:tblPr/>
      <w:tcPr>
        <w:tcBorders>
          <w:tl2br w:val="none" w:color="auto" w:sz="0" w:space="0"/>
          <w:tr2bl w:val="none" w:color="auto" w:sz="0" w:space="0"/>
        </w:tcBorders>
      </w:tcPr>
    </w:tblStylePr>
  </w:style>
  <w:style w:type="table" w:styleId="TableGrid5">
    <w:name w:val="Table Grid 5"/>
    <w:basedOn w:val="TableNormal"/>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6">
    <w:name w:val="Table Grid 6"/>
    <w:basedOn w:val="TableNormal"/>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one" w:color="auto" w:sz="0" w:space="0"/>
          <w:tr2bl w:val="none" w:color="auto" w:sz="0" w:space="0"/>
        </w:tcBorders>
      </w:tcPr>
    </w:tblStylePr>
    <w:tblStylePr w:type="lastRow">
      <w:rPr>
        <w:color w:val="auto"/>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7">
    <w:name w:val="Table Grid 7"/>
    <w:basedOn w:val="TableNormal"/>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one" w:color="auto" w:sz="0" w:space="0"/>
          <w:tr2bl w:val="none" w:color="auto" w:sz="0" w:space="0"/>
        </w:tcBorders>
      </w:tcPr>
    </w:tblStylePr>
    <w:tblStylePr w:type="lastRow">
      <w:rPr>
        <w:b w:val="0"/>
        <w:bCs w:val="0"/>
      </w:rPr>
      <w:tblPr/>
      <w:tcPr>
        <w:tcBorders>
          <w:top w:val="single" w:color="000000" w:sz="6" w:space="0"/>
          <w:tl2br w:val="none" w:color="auto" w:sz="0" w:space="0"/>
          <w:tr2bl w:val="none" w:color="auto" w:sz="0" w:space="0"/>
        </w:tcBorders>
      </w:tcPr>
    </w:tblStylePr>
    <w:tblStylePr w:type="firstCol">
      <w:rPr>
        <w:b w:val="0"/>
        <w:bCs w:val="0"/>
      </w:rPr>
      <w:tblPr/>
      <w:tcPr>
        <w:tcBorders>
          <w:tl2br w:val="none" w:color="auto" w:sz="0" w:space="0"/>
          <w:tr2bl w:val="none" w:color="auto" w:sz="0" w:space="0"/>
        </w:tcBorders>
      </w:tcPr>
    </w:tblStylePr>
    <w:tblStylePr w:type="lastCol">
      <w:rPr>
        <w:b w:val="0"/>
        <w:bCs w:val="0"/>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8">
    <w:name w:val="Table Grid 8"/>
    <w:basedOn w:val="TableNormal"/>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paragraph" w:styleId="TableItalicTitle" w:customStyle="1">
    <w:name w:val="Table Italic Title"/>
    <w:basedOn w:val="BodyText"/>
    <w:pPr>
      <w:jc w:val="center"/>
    </w:pPr>
    <w:rPr>
      <w:i/>
    </w:rPr>
  </w:style>
  <w:style w:type="table" w:styleId="TableList1">
    <w:name w:val="Table List 1"/>
    <w:basedOn w:val="TableNormal"/>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2">
    <w:name w:val="Table List 2"/>
    <w:basedOn w:val="TableNormal"/>
    <w:tblPr>
      <w:tblStyleRowBandSize w:val="2"/>
      <w:tblBorders>
        <w:bottom w:val="single" w:color="808080" w:sz="12" w:space="0"/>
      </w:tblBorders>
    </w:tblPr>
    <w:tblStylePr w:type="firstRow">
      <w:rPr>
        <w:b/>
        <w:bCs/>
        <w:color w:val="FFFFFF"/>
      </w:rPr>
      <w:tblPr/>
      <w:tcPr>
        <w:tcBorders>
          <w:bottom w:val="single" w:color="000000" w:sz="6" w:space="0"/>
          <w:tl2br w:val="none" w:color="auto" w:sz="0" w:space="0"/>
          <w:tr2bl w:val="none" w:color="auto" w:sz="0" w:space="0"/>
        </w:tcBorders>
        <w:shd w:val="pct75" w:color="008080" w:fill="008000"/>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FF0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List3">
    <w:name w:val="Table List 3"/>
    <w:basedOn w:val="TableNormal"/>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swCell">
      <w:rPr>
        <w:i/>
        <w:iCs/>
        <w:color w:val="000080"/>
      </w:rPr>
      <w:tblPr/>
      <w:tcPr>
        <w:tcBorders>
          <w:tl2br w:val="none" w:color="auto" w:sz="0" w:space="0"/>
          <w:tr2bl w:val="none" w:color="auto" w:sz="0" w:space="0"/>
        </w:tcBorders>
      </w:tcPr>
    </w:tblStylePr>
  </w:style>
  <w:style w:type="table" w:styleId="TableList4">
    <w:name w:val="Table List 4"/>
    <w:basedOn w:val="TableNormal"/>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one" w:color="auto" w:sz="0" w:space="0"/>
          <w:tr2bl w:val="none" w:color="auto" w:sz="0" w:space="0"/>
        </w:tcBorders>
        <w:shd w:val="solid" w:color="808080" w:fill="FFFFFF"/>
      </w:tcPr>
    </w:tblStylePr>
  </w:style>
  <w:style w:type="table" w:styleId="TableList5">
    <w:name w:val="Table List 5"/>
    <w:basedOn w:val="TableNormal"/>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style>
  <w:style w:type="table" w:styleId="TableList6">
    <w:name w:val="Table List 6"/>
    <w:basedOn w:val="TableNormal"/>
    <w:tblPr>
      <w:tblStyleRowBandSize w:val="1"/>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band1Horz">
      <w:tblPr/>
      <w:tcPr>
        <w:tcBorders>
          <w:tl2br w:val="none" w:color="auto" w:sz="0" w:space="0"/>
          <w:tr2bl w:val="none" w:color="auto" w:sz="0" w:space="0"/>
        </w:tcBorders>
        <w:shd w:val="pct25" w:color="000000" w:fill="FFFFFF"/>
      </w:tcPr>
    </w:tblStylePr>
  </w:style>
  <w:style w:type="table" w:styleId="TableList7">
    <w:name w:val="Table List 7"/>
    <w:basedOn w:val="TableNormal"/>
    <w:tblPr>
      <w:tblStyleRowBandSize w:val="1"/>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one" w:color="auto" w:sz="0" w:space="0"/>
          <w:tr2bl w:val="none" w:color="auto" w:sz="0" w:space="0"/>
        </w:tcBorders>
        <w:shd w:val="solid" w:color="C0C0C0" w:fill="FFFFFF"/>
      </w:tcPr>
    </w:tblStylePr>
    <w:tblStylePr w:type="lastRow">
      <w:rPr>
        <w:b/>
        <w:bCs/>
      </w:rPr>
      <w:tblPr/>
      <w:tcPr>
        <w:tcBorders>
          <w:top w:val="single" w:color="008000" w:sz="12"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0" w:color="000000" w:fill="FFFFFF"/>
      </w:tcPr>
    </w:tblStylePr>
    <w:tblStylePr w:type="band2Horz">
      <w:tblPr/>
      <w:tcPr>
        <w:tcBorders>
          <w:tl2br w:val="none" w:color="auto" w:sz="0" w:space="0"/>
          <w:tr2bl w:val="none" w:color="auto" w:sz="0" w:space="0"/>
        </w:tcBorders>
        <w:shd w:val="pct25" w:color="FFFF00" w:fill="FFFFFF"/>
      </w:tcPr>
    </w:tblStylePr>
  </w:style>
  <w:style w:type="table" w:styleId="TableList8">
    <w:name w:val="Table List 8"/>
    <w:basedOn w:val="TableNormal"/>
    <w:tblPr>
      <w:tblStyleRowBandSize w:val="1"/>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one" w:color="auto" w:sz="0" w:space="0"/>
          <w:tr2bl w:val="none" w:color="auto" w:sz="0" w:space="0"/>
        </w:tcBorders>
        <w:shd w:val="solid" w:color="FFFF00" w:fill="FFFFFF"/>
      </w:tcPr>
    </w:tblStylePr>
    <w:tblStylePr w:type="lastRow">
      <w:rPr>
        <w:b/>
        <w:bCs/>
      </w:rPr>
      <w:tblPr/>
      <w:tcPr>
        <w:tcBorders>
          <w:top w:val="single" w:color="000000" w:sz="6" w:space="0"/>
          <w:tl2br w:val="none" w:color="auto" w:sz="0" w:space="0"/>
          <w:tr2bl w:val="none" w:color="auto" w:sz="0" w:space="0"/>
        </w:tcBorders>
      </w:tcPr>
    </w:tblStylePr>
    <w:tblStylePr w:type="firstCol">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pct25" w:color="FFFF00" w:fill="FFFFFF"/>
      </w:tcPr>
    </w:tblStylePr>
    <w:tblStylePr w:type="band2Horz">
      <w:tblPr/>
      <w:tcPr>
        <w:tcBorders>
          <w:tl2br w:val="none" w:color="auto" w:sz="0" w:space="0"/>
          <w:tr2bl w:val="none" w:color="auto" w:sz="0" w:space="0"/>
        </w:tcBorders>
        <w:shd w:val="pct50" w:color="FF0000" w:fill="FFFFFF"/>
      </w:tcPr>
    </w:tblStylePr>
  </w:style>
  <w:style w:type="table" w:styleId="TableProfessional">
    <w:name w:val="Table Professional"/>
    <w:basedOn w:val="TableNormal"/>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one" w:color="auto" w:sz="0" w:space="0"/>
          <w:tr2bl w:val="none" w:color="auto" w:sz="0" w:space="0"/>
        </w:tcBorders>
        <w:shd w:val="solid" w:color="000000" w:fill="FFFFFF"/>
      </w:tcPr>
    </w:tblStylePr>
  </w:style>
  <w:style w:type="table" w:styleId="TableSimple1">
    <w:name w:val="Table Simple 1"/>
    <w:basedOn w:val="TableNormal"/>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one" w:color="auto" w:sz="0" w:space="0"/>
          <w:tr2bl w:val="none" w:color="auto" w:sz="0" w:space="0"/>
        </w:tcBorders>
      </w:tcPr>
    </w:tblStylePr>
    <w:tblStylePr w:type="lastRow">
      <w:tblPr/>
      <w:tcPr>
        <w:tcBorders>
          <w:top w:val="single" w:color="008000" w:sz="6" w:space="0"/>
          <w:tl2br w:val="none" w:color="auto" w:sz="0" w:space="0"/>
          <w:tr2bl w:val="none" w:color="auto" w:sz="0" w:space="0"/>
        </w:tcBorders>
      </w:tcPr>
    </w:tblStylePr>
  </w:style>
  <w:style w:type="table" w:styleId="TableSimple2">
    <w:name w:val="Table Simple 2"/>
    <w:basedOn w:val="TableNormal"/>
    <w:tblPr/>
    <w:tblStylePr w:type="firstRow">
      <w:rPr>
        <w:b/>
        <w:bCs/>
      </w:rPr>
      <w:tblPr/>
      <w:tcPr>
        <w:tcBorders>
          <w:bottom w:val="single" w:color="000000" w:sz="12" w:space="0"/>
          <w:tl2br w:val="none" w:color="auto" w:sz="0" w:space="0"/>
          <w:tr2bl w:val="none" w:color="auto" w:sz="0" w:space="0"/>
        </w:tcBorders>
      </w:tcPr>
    </w:tblStylePr>
    <w:tblStylePr w:type="lastRow">
      <w:rPr>
        <w:b/>
        <w:bCs/>
        <w:color w:val="auto"/>
      </w:rPr>
      <w:tblPr/>
      <w:tcPr>
        <w:tcBorders>
          <w:top w:val="single" w:color="000000" w:sz="6" w:space="0"/>
          <w:tl2br w:val="none" w:color="auto" w:sz="0" w:space="0"/>
          <w:tr2bl w:val="none" w:color="auto" w:sz="0" w:space="0"/>
        </w:tcBorders>
      </w:tcPr>
    </w:tblStylePr>
    <w:tblStylePr w:type="firstCol">
      <w:rPr>
        <w:b/>
        <w:bCs/>
      </w:rPr>
      <w:tblPr/>
      <w:tcPr>
        <w:tcBorders>
          <w:right w:val="single" w:color="000000" w:sz="12" w:space="0"/>
          <w:tl2br w:val="none" w:color="auto" w:sz="0" w:space="0"/>
          <w:tr2bl w:val="none" w:color="auto" w:sz="0" w:space="0"/>
        </w:tcBorders>
      </w:tcPr>
    </w:tblStylePr>
    <w:tblStylePr w:type="lastCol">
      <w:rPr>
        <w:b/>
        <w:bCs/>
      </w:rPr>
      <w:tblPr/>
      <w:tcPr>
        <w:tcBorders>
          <w:left w:val="single" w:color="000000" w:sz="6" w:space="0"/>
          <w:tl2br w:val="none" w:color="auto" w:sz="0" w:space="0"/>
          <w:tr2bl w:val="none" w:color="auto" w:sz="0" w:space="0"/>
        </w:tcBorders>
      </w:tcPr>
    </w:tblStylePr>
    <w:tblStylePr w:type="neCell">
      <w:rPr>
        <w:b/>
        <w:bCs/>
      </w:rPr>
      <w:tblPr/>
      <w:tcPr>
        <w:tcBorders>
          <w:left w:val="none" w:color="auto" w:sz="0" w:space="0"/>
          <w:tl2br w:val="none" w:color="auto" w:sz="0" w:space="0"/>
          <w:tr2bl w:val="none" w:color="auto" w:sz="0" w:space="0"/>
        </w:tcBorders>
      </w:tcPr>
    </w:tblStylePr>
    <w:tblStylePr w:type="swCell">
      <w:rPr>
        <w:b/>
        <w:bCs/>
      </w:rPr>
      <w:tblPr/>
      <w:tcPr>
        <w:tcBorders>
          <w:top w:val="none" w:color="auto" w:sz="0" w:space="0"/>
          <w:tl2br w:val="none" w:color="auto" w:sz="0" w:space="0"/>
          <w:tr2bl w:val="none" w:color="auto" w:sz="0" w:space="0"/>
        </w:tcBorders>
      </w:tcPr>
    </w:tblStylePr>
  </w:style>
  <w:style w:type="table" w:styleId="TableSimple3">
    <w:name w:val="Table Simple 3"/>
    <w:basedOn w:val="TableNormal"/>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one" w:color="auto" w:sz="0" w:space="0"/>
          <w:tr2bl w:val="none" w:color="auto" w:sz="0" w:space="0"/>
        </w:tcBorders>
        <w:shd w:val="solid" w:color="000000" w:fill="FFFFFF"/>
      </w:tcPr>
    </w:tblStylePr>
  </w:style>
  <w:style w:type="table" w:styleId="TableSubtle1">
    <w:name w:val="Table Subtle 1"/>
    <w:basedOn w:val="TableNormal"/>
    <w:tblPr>
      <w:tblStyleRowBandSize w:val="1"/>
    </w:tblPr>
    <w:tblStylePr w:type="firstRow">
      <w:tblPr/>
      <w:tcPr>
        <w:tcBorders>
          <w:top w:val="single" w:color="000000" w:sz="6" w:space="0"/>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shd w:val="pct25" w:color="800080" w:fill="FFFFFF"/>
      </w:tcPr>
    </w:tblStylePr>
    <w:tblStylePr w:type="firstCol">
      <w:tblPr/>
      <w:tcPr>
        <w:tcBorders>
          <w:right w:val="single" w:color="000000" w:sz="12" w:space="0"/>
          <w:tl2br w:val="none" w:color="auto" w:sz="0" w:space="0"/>
          <w:tr2bl w:val="none" w:color="auto" w:sz="0" w:space="0"/>
        </w:tcBorders>
      </w:tcPr>
    </w:tblStylePr>
    <w:tblStylePr w:type="lastCol">
      <w:tblPr/>
      <w:tcPr>
        <w:tcBorders>
          <w:left w:val="single" w:color="000000" w:sz="12" w:space="0"/>
          <w:tl2br w:val="none" w:color="auto" w:sz="0" w:space="0"/>
          <w:tr2bl w:val="none" w:color="auto" w:sz="0" w:space="0"/>
        </w:tcBorders>
      </w:tcPr>
    </w:tblStylePr>
    <w:tblStylePr w:type="band1Horz">
      <w:tblPr/>
      <w:tcPr>
        <w:tcBorders>
          <w:bottom w:val="single" w:color="000000" w:sz="6"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table" w:styleId="TableSubtle2">
    <w:name w:val="Table Subtle 2"/>
    <w:basedOn w:val="TableNormal"/>
    <w:tblPr>
      <w:tblBorders>
        <w:left w:val="single" w:color="000000" w:sz="6" w:space="0"/>
        <w:right w:val="single" w:color="000000" w:sz="6" w:space="0"/>
      </w:tblBorders>
    </w:tblPr>
    <w:tblStylePr w:type="firstRow">
      <w:tblPr/>
      <w:tcPr>
        <w:tcBorders>
          <w:bottom w:val="single" w:color="000000" w:sz="12" w:space="0"/>
          <w:tl2br w:val="none" w:color="auto" w:sz="0" w:space="0"/>
          <w:tr2bl w:val="none" w:color="auto" w:sz="0" w:space="0"/>
        </w:tcBorders>
      </w:tcPr>
    </w:tblStylePr>
    <w:tblStylePr w:type="lastRow">
      <w:tblPr/>
      <w:tcPr>
        <w:tcBorders>
          <w:top w:val="single" w:color="000000" w:sz="12" w:space="0"/>
          <w:tl2br w:val="none" w:color="auto" w:sz="0" w:space="0"/>
          <w:tr2bl w:val="none" w:color="auto" w:sz="0" w:space="0"/>
        </w:tcBorders>
      </w:tcPr>
    </w:tblStylePr>
    <w:tblStylePr w:type="firstCol">
      <w:tblPr/>
      <w:tcPr>
        <w:tcBorders>
          <w:right w:val="single" w:color="000000" w:sz="12" w:space="0"/>
          <w:tl2br w:val="none" w:color="auto" w:sz="0" w:space="0"/>
          <w:tr2bl w:val="none" w:color="auto" w:sz="0" w:space="0"/>
        </w:tcBorders>
        <w:shd w:val="pct25" w:color="008000" w:fill="FFFFFF"/>
      </w:tcPr>
    </w:tblStylePr>
    <w:tblStylePr w:type="lastCol">
      <w:tblPr/>
      <w:tcPr>
        <w:tcBorders>
          <w:left w:val="single" w:color="000000" w:sz="12" w:space="0"/>
          <w:tl2br w:val="none" w:color="auto" w:sz="0" w:space="0"/>
          <w:tr2bl w:val="none" w:color="auto" w:sz="0" w:space="0"/>
        </w:tcBorders>
        <w:shd w:val="pct25" w:color="808000" w:fill="FFFFFF"/>
      </w:tcPr>
    </w:tblStylePr>
    <w:tblStylePr w:type="neCell">
      <w:rPr>
        <w:b/>
        <w:bCs/>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TableText" w:customStyle="1">
    <w:name w:val="Table Text"/>
    <w:basedOn w:val="BodyText"/>
  </w:style>
  <w:style w:type="table" w:styleId="TableTheme">
    <w:name w:val="Table Theme"/>
    <w:basedOn w:val="TableNormal"/>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UnderlineTitle" w:customStyle="1">
    <w:name w:val="Table Underline Title"/>
    <w:basedOn w:val="BodyText"/>
    <w:pPr>
      <w:jc w:val="center"/>
    </w:pPr>
    <w:rPr>
      <w:u w:val="single"/>
    </w:rPr>
  </w:style>
  <w:style w:type="table" w:styleId="TableWeb1">
    <w:name w:val="Table Web 1"/>
    <w:basedOn w:val="TableNormal"/>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2">
    <w:name w:val="Table Web 2"/>
    <w:basedOn w:val="TableNormal"/>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table" w:styleId="TableWeb3">
    <w:name w:val="Table Web 3"/>
    <w:basedOn w:val="TableNormal"/>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one" w:color="auto" w:sz="0" w:space="0"/>
          <w:tr2bl w:val="none" w:color="auto" w:sz="0" w:space="0"/>
        </w:tcBorders>
      </w:tcPr>
    </w:tblStylePr>
  </w:style>
  <w:style w:type="paragraph" w:styleId="Title">
    <w:name w:val="Title"/>
    <w:aliases w:val="t"/>
    <w:basedOn w:val="BodyText"/>
    <w:next w:val="BodyText"/>
    <w:link w:val="TitleChar"/>
    <w:qFormat/>
    <w:pPr>
      <w:keepNext/>
      <w:jc w:val="center"/>
      <w:outlineLvl w:val="0"/>
    </w:pPr>
    <w:rPr>
      <w:b/>
      <w:bCs/>
    </w:rPr>
  </w:style>
  <w:style w:type="paragraph" w:styleId="Title2" w:customStyle="1">
    <w:name w:val="Title 2"/>
    <w:basedOn w:val="BodyText"/>
    <w:next w:val="BodyText"/>
    <w:pPr>
      <w:keepNext/>
    </w:pPr>
    <w:rPr>
      <w:b/>
    </w:rPr>
  </w:style>
  <w:style w:type="paragraph" w:styleId="TitleCoverPage" w:customStyle="1">
    <w:name w:val="Title Cover Page"/>
    <w:basedOn w:val="Normal"/>
    <w:pPr>
      <w:spacing w:before="980" w:after="240"/>
      <w:jc w:val="center"/>
    </w:pPr>
    <w:rPr>
      <w:b/>
      <w:smallCaps/>
      <w:sz w:val="32"/>
    </w:rPr>
  </w:style>
  <w:style w:type="paragraph" w:styleId="ArticleCont1" w:customStyle="1">
    <w:name w:val="Article Cont 1"/>
    <w:basedOn w:val="Normal"/>
    <w:pPr>
      <w:spacing w:after="240"/>
    </w:pPr>
    <w:rPr>
      <w:rFonts w:cs="Arial"/>
      <w:szCs w:val="20"/>
    </w:rPr>
  </w:style>
  <w:style w:type="paragraph" w:styleId="ArticleCont2" w:customStyle="1">
    <w:name w:val="Article Cont 2"/>
    <w:basedOn w:val="ArticleCont1"/>
  </w:style>
  <w:style w:type="paragraph" w:styleId="ArticleCont3" w:customStyle="1">
    <w:name w:val="Article Cont 3"/>
    <w:basedOn w:val="ArticleCont2"/>
  </w:style>
  <w:style w:type="paragraph" w:styleId="ArticleCont4" w:customStyle="1">
    <w:name w:val="Article Cont 4"/>
    <w:basedOn w:val="ArticleCont3"/>
  </w:style>
  <w:style w:type="paragraph" w:styleId="ArticleCont5" w:customStyle="1">
    <w:name w:val="Article Cont 5"/>
    <w:basedOn w:val="ArticleCont4"/>
  </w:style>
  <w:style w:type="paragraph" w:styleId="ArticleCont6" w:customStyle="1">
    <w:name w:val="Article Cont 6"/>
    <w:basedOn w:val="ArticleCont5"/>
  </w:style>
  <w:style w:type="paragraph" w:styleId="ArticleCont7" w:customStyle="1">
    <w:name w:val="Article Cont 7"/>
    <w:basedOn w:val="ArticleCont6"/>
  </w:style>
  <w:style w:type="paragraph" w:styleId="ArticleCont8" w:customStyle="1">
    <w:name w:val="Article Cont 8"/>
    <w:basedOn w:val="ArticleCont7"/>
  </w:style>
  <w:style w:type="paragraph" w:styleId="ArticleCont9" w:customStyle="1">
    <w:name w:val="Article Cont 9"/>
    <w:basedOn w:val="ArticleCont8"/>
  </w:style>
  <w:style w:type="paragraph" w:styleId="ArticleL1" w:customStyle="1">
    <w:name w:val="Article_L1"/>
    <w:basedOn w:val="Normal"/>
    <w:next w:val="BodyText"/>
    <w:autoRedefine/>
    <w:pPr>
      <w:keepNext/>
      <w:numPr>
        <w:numId w:val="20"/>
      </w:numPr>
      <w:spacing w:after="160"/>
      <w:jc w:val="center"/>
      <w:outlineLvl w:val="0"/>
    </w:pPr>
    <w:rPr>
      <w:rFonts w:cs="Arial"/>
      <w:b/>
      <w:szCs w:val="20"/>
    </w:rPr>
  </w:style>
  <w:style w:type="paragraph" w:styleId="ArticleL2" w:customStyle="1">
    <w:name w:val="Article_L2"/>
    <w:basedOn w:val="ArticleL1"/>
    <w:next w:val="BodyText"/>
    <w:pPr>
      <w:numPr>
        <w:ilvl w:val="1"/>
      </w:numPr>
      <w:jc w:val="both"/>
      <w:outlineLvl w:val="1"/>
    </w:pPr>
    <w:rPr>
      <w:b w:val="0"/>
    </w:rPr>
  </w:style>
  <w:style w:type="paragraph" w:styleId="ArticleL3" w:customStyle="1">
    <w:name w:val="Article_L3"/>
    <w:basedOn w:val="ArticleL2"/>
    <w:next w:val="BodyText"/>
    <w:pPr>
      <w:numPr>
        <w:ilvl w:val="2"/>
      </w:numPr>
      <w:outlineLvl w:val="2"/>
    </w:pPr>
  </w:style>
  <w:style w:type="paragraph" w:styleId="ArticleL4" w:customStyle="1">
    <w:name w:val="Article_L4"/>
    <w:basedOn w:val="ArticleL3"/>
    <w:next w:val="BodyText"/>
    <w:pPr>
      <w:numPr>
        <w:ilvl w:val="3"/>
      </w:numPr>
      <w:outlineLvl w:val="3"/>
    </w:pPr>
  </w:style>
  <w:style w:type="paragraph" w:styleId="ArticleL5" w:customStyle="1">
    <w:name w:val="Article_L5"/>
    <w:basedOn w:val="ArticleL4"/>
    <w:next w:val="BodyText"/>
    <w:pPr>
      <w:numPr>
        <w:ilvl w:val="4"/>
      </w:numPr>
      <w:outlineLvl w:val="4"/>
    </w:pPr>
  </w:style>
  <w:style w:type="paragraph" w:styleId="ArticleL6" w:customStyle="1">
    <w:name w:val="Article_L6"/>
    <w:basedOn w:val="ArticleL5"/>
    <w:next w:val="BodyText"/>
    <w:pPr>
      <w:numPr>
        <w:ilvl w:val="5"/>
      </w:numPr>
      <w:jc w:val="left"/>
      <w:outlineLvl w:val="5"/>
    </w:pPr>
  </w:style>
  <w:style w:type="paragraph" w:styleId="ArticleL7" w:customStyle="1">
    <w:name w:val="Article_L7"/>
    <w:basedOn w:val="ArticleL6"/>
    <w:next w:val="BodyText"/>
    <w:pPr>
      <w:numPr>
        <w:ilvl w:val="6"/>
      </w:numPr>
      <w:outlineLvl w:val="6"/>
    </w:pPr>
  </w:style>
  <w:style w:type="paragraph" w:styleId="ArticleL8" w:customStyle="1">
    <w:name w:val="Article_L8"/>
    <w:basedOn w:val="ArticleL7"/>
    <w:next w:val="BodyText"/>
    <w:pPr>
      <w:numPr>
        <w:ilvl w:val="7"/>
      </w:numPr>
      <w:outlineLvl w:val="7"/>
    </w:pPr>
  </w:style>
  <w:style w:type="paragraph" w:styleId="ArticleL9" w:customStyle="1">
    <w:name w:val="Article_L9"/>
    <w:basedOn w:val="ArticleL8"/>
    <w:next w:val="BodyText"/>
    <w:pPr>
      <w:numPr>
        <w:ilvl w:val="8"/>
      </w:numPr>
      <w:outlineLvl w:val="8"/>
    </w:pPr>
  </w:style>
  <w:style w:type="paragraph" w:styleId="BodyTextIndent1" w:customStyle="1">
    <w:name w:val="Body Text Indent 1"/>
    <w:basedOn w:val="Normal"/>
    <w:pPr>
      <w:tabs>
        <w:tab w:val="left" w:pos="-1800"/>
        <w:tab w:val="left" w:pos="-1440"/>
      </w:tabs>
      <w:spacing w:after="240"/>
      <w:ind w:firstLine="1440"/>
    </w:pPr>
  </w:style>
  <w:style w:type="paragraph" w:styleId="List5Tab4" w:customStyle="1">
    <w:name w:val="List .5 Tab 4"/>
    <w:basedOn w:val="Normal"/>
    <w:pPr>
      <w:tabs>
        <w:tab w:val="left" w:pos="5760"/>
      </w:tabs>
      <w:spacing w:after="240"/>
      <w:ind w:left="720"/>
    </w:pPr>
  </w:style>
  <w:style w:type="paragraph" w:styleId="Tab2" w:customStyle="1">
    <w:name w:val="Tab 2"/>
    <w:basedOn w:val="Normal"/>
    <w:pPr>
      <w:tabs>
        <w:tab w:val="left" w:pos="2880"/>
      </w:tabs>
      <w:spacing w:after="240"/>
    </w:pPr>
  </w:style>
  <w:style w:type="paragraph" w:styleId="Style1" w:customStyle="1">
    <w:name w:val="Style1"/>
    <w:basedOn w:val="Tab2"/>
    <w:rPr>
      <w:i/>
    </w:rPr>
  </w:style>
  <w:style w:type="paragraph" w:styleId="Tab2Hang" w:customStyle="1">
    <w:name w:val="Tab 2 Hang"/>
    <w:basedOn w:val="Tab2"/>
    <w:pPr>
      <w:ind w:left="2880" w:hanging="2880"/>
    </w:pPr>
  </w:style>
  <w:style w:type="paragraph" w:styleId="Center" w:customStyle="1">
    <w:name w:val="Center"/>
    <w:basedOn w:val="Normal"/>
    <w:pPr>
      <w:jc w:val="center"/>
      <w:outlineLvl w:val="0"/>
    </w:pPr>
  </w:style>
  <w:style w:type="paragraph" w:styleId="Tab25Hang" w:customStyle="1">
    <w:name w:val="Tab 2.5 Hang"/>
    <w:basedOn w:val="Normal"/>
    <w:pPr>
      <w:widowControl w:val="0"/>
      <w:tabs>
        <w:tab w:val="left" w:pos="3600"/>
      </w:tabs>
      <w:spacing w:after="240"/>
      <w:ind w:left="3600" w:hanging="3600"/>
    </w:pPr>
  </w:style>
  <w:style w:type="paragraph" w:styleId="TOCHeader" w:customStyle="1">
    <w:name w:val="TOC Header"/>
    <w:basedOn w:val="Normal"/>
    <w:pPr>
      <w:ind w:left="115" w:right="115"/>
      <w:jc w:val="center"/>
    </w:pPr>
    <w:rPr>
      <w:rFonts w:cs="Arial"/>
      <w:szCs w:val="20"/>
    </w:rPr>
  </w:style>
  <w:style w:type="paragraph" w:styleId="TableofAuthorities">
    <w:name w:val="table of authorities"/>
    <w:basedOn w:val="Normal"/>
    <w:next w:val="Normal"/>
    <w:pPr>
      <w:ind w:left="240" w:hanging="240"/>
    </w:pPr>
  </w:style>
  <w:style w:type="paragraph" w:styleId="TOC1">
    <w:name w:val="toc 1"/>
    <w:basedOn w:val="Normal"/>
    <w:next w:val="Normal"/>
    <w:autoRedefine/>
    <w:uiPriority w:val="39"/>
    <w:pPr>
      <w:keepLines/>
      <w:tabs>
        <w:tab w:val="right" w:leader="dot" w:pos="9288"/>
      </w:tabs>
      <w:spacing w:before="120" w:after="120"/>
      <w:ind w:left="1440" w:right="90" w:hanging="1440"/>
      <w:jc w:val="center"/>
    </w:pPr>
    <w:rPr>
      <w:rFonts w:cs="Arial"/>
      <w:b/>
      <w:szCs w:val="20"/>
    </w:rPr>
  </w:style>
  <w:style w:type="paragraph" w:styleId="TOC2">
    <w:name w:val="toc 2"/>
    <w:basedOn w:val="Normal"/>
    <w:next w:val="Normal"/>
    <w:autoRedefine/>
    <w:uiPriority w:val="39"/>
    <w:pPr>
      <w:keepLines/>
      <w:tabs>
        <w:tab w:val="left" w:pos="1440"/>
        <w:tab w:val="right" w:leader="dot" w:pos="9288"/>
      </w:tabs>
      <w:ind w:left="1440" w:right="720" w:hanging="720"/>
    </w:pPr>
    <w:rPr>
      <w:rFonts w:cs="Arial"/>
      <w:szCs w:val="20"/>
    </w:rPr>
  </w:style>
  <w:style w:type="paragraph" w:styleId="TOC3">
    <w:name w:val="toc 3"/>
    <w:basedOn w:val="Normal"/>
    <w:next w:val="Normal"/>
    <w:autoRedefine/>
    <w:uiPriority w:val="39"/>
    <w:pPr>
      <w:keepLines/>
      <w:tabs>
        <w:tab w:val="right" w:leader="dot" w:pos="9288"/>
      </w:tabs>
      <w:ind w:left="2160" w:right="720" w:hanging="720"/>
    </w:pPr>
    <w:rPr>
      <w:rFonts w:cs="Arial"/>
      <w:szCs w:val="20"/>
    </w:rPr>
  </w:style>
  <w:style w:type="paragraph" w:styleId="TOC4">
    <w:name w:val="toc 4"/>
    <w:basedOn w:val="Normal"/>
    <w:next w:val="Normal"/>
    <w:autoRedefine/>
    <w:uiPriority w:val="39"/>
    <w:pPr>
      <w:keepLines/>
      <w:tabs>
        <w:tab w:val="right" w:leader="dot" w:pos="9288"/>
      </w:tabs>
      <w:ind w:left="2880" w:right="720" w:hanging="720"/>
    </w:pPr>
    <w:rPr>
      <w:rFonts w:cs="Arial"/>
      <w:szCs w:val="20"/>
    </w:rPr>
  </w:style>
  <w:style w:type="paragraph" w:styleId="TOC5">
    <w:name w:val="toc 5"/>
    <w:basedOn w:val="Normal"/>
    <w:next w:val="Normal"/>
    <w:autoRedefine/>
    <w:uiPriority w:val="39"/>
    <w:pPr>
      <w:keepLines/>
      <w:tabs>
        <w:tab w:val="right" w:leader="dot" w:pos="9288"/>
      </w:tabs>
      <w:ind w:left="3600" w:right="720" w:hanging="720"/>
    </w:pPr>
    <w:rPr>
      <w:rFonts w:cs="Arial"/>
      <w:szCs w:val="20"/>
    </w:rPr>
  </w:style>
  <w:style w:type="paragraph" w:styleId="TOC6">
    <w:name w:val="toc 6"/>
    <w:basedOn w:val="Normal"/>
    <w:next w:val="Normal"/>
    <w:autoRedefine/>
    <w:uiPriority w:val="39"/>
    <w:pPr>
      <w:keepLines/>
      <w:tabs>
        <w:tab w:val="right" w:leader="dot" w:pos="9288"/>
      </w:tabs>
      <w:ind w:left="4320" w:right="720" w:hanging="720"/>
    </w:pPr>
    <w:rPr>
      <w:rFonts w:cs="Arial"/>
      <w:szCs w:val="20"/>
    </w:rPr>
  </w:style>
  <w:style w:type="paragraph" w:styleId="TOC7">
    <w:name w:val="toc 7"/>
    <w:basedOn w:val="Normal"/>
    <w:next w:val="Normal"/>
    <w:autoRedefine/>
    <w:uiPriority w:val="39"/>
    <w:pPr>
      <w:keepLines/>
      <w:tabs>
        <w:tab w:val="right" w:leader="dot" w:pos="9288"/>
      </w:tabs>
      <w:ind w:left="5040" w:right="720" w:hanging="720"/>
    </w:pPr>
    <w:rPr>
      <w:rFonts w:cs="Arial"/>
      <w:szCs w:val="20"/>
    </w:rPr>
  </w:style>
  <w:style w:type="paragraph" w:styleId="TOC8">
    <w:name w:val="toc 8"/>
    <w:basedOn w:val="Normal"/>
    <w:next w:val="Normal"/>
    <w:autoRedefine/>
    <w:uiPriority w:val="39"/>
    <w:pPr>
      <w:keepLines/>
      <w:tabs>
        <w:tab w:val="right" w:leader="dot" w:pos="9288"/>
      </w:tabs>
      <w:ind w:left="5760" w:right="720" w:hanging="720"/>
    </w:pPr>
    <w:rPr>
      <w:rFonts w:cs="Arial"/>
      <w:szCs w:val="20"/>
    </w:rPr>
  </w:style>
  <w:style w:type="paragraph" w:styleId="TOC9">
    <w:name w:val="toc 9"/>
    <w:basedOn w:val="Normal"/>
    <w:next w:val="Normal"/>
    <w:autoRedefine/>
    <w:uiPriority w:val="39"/>
    <w:pPr>
      <w:keepLines/>
      <w:tabs>
        <w:tab w:val="right" w:leader="dot" w:pos="9288"/>
      </w:tabs>
      <w:ind w:left="6480" w:right="720" w:hanging="720"/>
    </w:pPr>
    <w:rPr>
      <w:rFonts w:cs="Arial"/>
      <w:szCs w:val="20"/>
    </w:rPr>
  </w:style>
  <w:style w:type="paragraph" w:styleId="MacPacTrailer" w:customStyle="1">
    <w:name w:val="MacPac Trailer"/>
    <w:rsid w:val="009A641E"/>
    <w:pPr>
      <w:widowControl w:val="0"/>
      <w:spacing w:line="200" w:lineRule="exact"/>
    </w:pPr>
    <w:rPr>
      <w:rFonts w:ascii="Tahoma" w:hAnsi="Tahoma"/>
      <w:sz w:val="16"/>
      <w:szCs w:val="22"/>
    </w:rPr>
  </w:style>
  <w:style w:type="paragraph" w:styleId="BylawsL1" w:customStyle="1">
    <w:name w:val="Bylaws_L1"/>
    <w:basedOn w:val="Normal"/>
    <w:next w:val="BodyText"/>
    <w:pPr>
      <w:numPr>
        <w:numId w:val="13"/>
      </w:numPr>
      <w:autoSpaceDE w:val="0"/>
      <w:autoSpaceDN w:val="0"/>
      <w:adjustRightInd w:val="0"/>
      <w:spacing w:after="240"/>
      <w:jc w:val="center"/>
      <w:outlineLvl w:val="0"/>
    </w:pPr>
    <w:rPr>
      <w:rFonts w:ascii="Times New Roman" w:hAnsi="Times New Roman"/>
      <w:b/>
      <w:caps/>
      <w:szCs w:val="20"/>
    </w:rPr>
  </w:style>
  <w:style w:type="paragraph" w:styleId="BylawsL2" w:customStyle="1">
    <w:name w:val="Bylaws_L2"/>
    <w:basedOn w:val="BylawsL1"/>
    <w:next w:val="BodyText"/>
    <w:pPr>
      <w:numPr>
        <w:ilvl w:val="1"/>
      </w:numPr>
      <w:jc w:val="both"/>
      <w:outlineLvl w:val="1"/>
    </w:pPr>
    <w:rPr>
      <w:b w:val="0"/>
      <w:caps w:val="0"/>
    </w:rPr>
  </w:style>
  <w:style w:type="paragraph" w:styleId="BylawsL3" w:customStyle="1">
    <w:name w:val="Bylaws_L3"/>
    <w:basedOn w:val="BylawsL2"/>
    <w:next w:val="BodyText"/>
    <w:pPr>
      <w:numPr>
        <w:ilvl w:val="2"/>
      </w:numPr>
      <w:ind w:left="360" w:firstLine="0"/>
      <w:outlineLvl w:val="2"/>
    </w:pPr>
  </w:style>
  <w:style w:type="paragraph" w:styleId="BylawsL4" w:customStyle="1">
    <w:name w:val="Bylaws_L4"/>
    <w:basedOn w:val="BylawsL3"/>
    <w:next w:val="BodyText"/>
    <w:pPr>
      <w:numPr>
        <w:ilvl w:val="3"/>
      </w:numPr>
      <w:ind w:hanging="360"/>
      <w:outlineLvl w:val="3"/>
    </w:pPr>
  </w:style>
  <w:style w:type="paragraph" w:styleId="BylawsL5" w:customStyle="1">
    <w:name w:val="Bylaws_L5"/>
    <w:basedOn w:val="BylawsL4"/>
    <w:next w:val="BodyText"/>
    <w:pPr>
      <w:numPr>
        <w:ilvl w:val="4"/>
      </w:numPr>
      <w:ind w:left="0"/>
      <w:jc w:val="left"/>
      <w:outlineLvl w:val="4"/>
    </w:pPr>
  </w:style>
  <w:style w:type="paragraph" w:styleId="Title16" w:customStyle="1">
    <w:name w:val="Title 16"/>
    <w:basedOn w:val="Normal"/>
    <w:pPr>
      <w:autoSpaceDE w:val="0"/>
      <w:autoSpaceDN w:val="0"/>
      <w:adjustRightInd w:val="0"/>
      <w:spacing w:before="980" w:after="240"/>
      <w:jc w:val="center"/>
    </w:pPr>
    <w:rPr>
      <w:rFonts w:cs="Arial"/>
      <w:b/>
      <w:smallCaps/>
      <w:sz w:val="32"/>
      <w:szCs w:val="32"/>
    </w:rPr>
  </w:style>
  <w:style w:type="paragraph" w:styleId="BlockText">
    <w:name w:val="Block Text"/>
    <w:basedOn w:val="BodyText"/>
    <w:next w:val="BodyText"/>
    <w:pPr>
      <w:spacing w:after="0"/>
      <w:ind w:left="1440" w:right="1440"/>
      <w:jc w:val="both"/>
    </w:pPr>
  </w:style>
  <w:style w:type="character" w:styleId="DeltaViewMovedDeletion" w:customStyle="1">
    <w:name w:val="DeltaView Moved Deletion"/>
    <w:rPr>
      <w:strike/>
      <w:color w:val="C08080"/>
      <w:spacing w:val="0"/>
    </w:rPr>
  </w:style>
  <w:style w:type="paragraph" w:styleId="HeadingBase" w:customStyle="1">
    <w:name w:val="Heading Base"/>
    <w:basedOn w:val="Normal"/>
    <w:next w:val="BodyText"/>
    <w:pPr>
      <w:keepNext/>
      <w:keepLines/>
      <w:spacing w:before="140" w:line="220" w:lineRule="atLeast"/>
      <w:ind w:left="1080"/>
    </w:pPr>
    <w:rPr>
      <w:spacing w:val="-4"/>
      <w:kern w:val="28"/>
      <w:sz w:val="22"/>
      <w:szCs w:val="20"/>
    </w:rPr>
  </w:style>
  <w:style w:type="paragraph" w:styleId="HeaderBase" w:customStyle="1">
    <w:name w:val="Header Base"/>
    <w:basedOn w:val="Normal"/>
    <w:pPr>
      <w:keepLines/>
      <w:tabs>
        <w:tab w:val="center" w:pos="4320"/>
        <w:tab w:val="right" w:pos="8640"/>
      </w:tabs>
    </w:pPr>
    <w:rPr>
      <w:spacing w:val="-4"/>
      <w:sz w:val="20"/>
      <w:szCs w:val="20"/>
    </w:rPr>
  </w:style>
  <w:style w:type="paragraph" w:styleId="DocumentMap">
    <w:name w:val="Document Map"/>
    <w:basedOn w:val="Normal"/>
    <w:pPr>
      <w:widowControl w:val="0"/>
      <w:shd w:val="clear" w:color="auto" w:fill="000080"/>
      <w:spacing w:after="200"/>
      <w:ind w:left="1080"/>
    </w:pPr>
    <w:rPr>
      <w:rFonts w:ascii="Tahoma" w:hAnsi="Tahoma"/>
      <w:sz w:val="20"/>
      <w:szCs w:val="20"/>
    </w:rPr>
  </w:style>
  <w:style w:type="paragraph" w:styleId="numtab1" w:customStyle="1">
    <w:name w:val="numtab1"/>
    <w:basedOn w:val="Normal"/>
    <w:pPr>
      <w:widowControl w:val="0"/>
      <w:spacing w:after="200"/>
      <w:ind w:left="720" w:hanging="720"/>
    </w:pPr>
    <w:rPr>
      <w:rFonts w:ascii="Times New Roman" w:hAnsi="Times New Roman"/>
      <w:sz w:val="20"/>
      <w:szCs w:val="20"/>
    </w:rPr>
  </w:style>
  <w:style w:type="paragraph" w:styleId="numtab2" w:customStyle="1">
    <w:name w:val="numtab2"/>
    <w:basedOn w:val="Normal"/>
    <w:pPr>
      <w:widowControl w:val="0"/>
      <w:spacing w:after="200"/>
      <w:ind w:left="1440" w:hanging="720"/>
    </w:pPr>
    <w:rPr>
      <w:rFonts w:ascii="Times New Roman" w:hAnsi="Times New Roman"/>
      <w:sz w:val="20"/>
      <w:szCs w:val="20"/>
    </w:rPr>
  </w:style>
  <w:style w:type="paragraph" w:styleId="numtab3" w:customStyle="1">
    <w:name w:val="numtab3"/>
    <w:basedOn w:val="Normal"/>
    <w:pPr>
      <w:widowControl w:val="0"/>
      <w:spacing w:after="200"/>
      <w:ind w:left="1980" w:hanging="540"/>
    </w:pPr>
    <w:rPr>
      <w:rFonts w:ascii="Times New Roman" w:hAnsi="Times New Roman"/>
      <w:sz w:val="20"/>
      <w:szCs w:val="20"/>
    </w:rPr>
  </w:style>
  <w:style w:type="paragraph" w:styleId="bigheading1" w:customStyle="1">
    <w:name w:val="bigheading1"/>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2text" w:customStyle="1">
    <w:name w:val="H2text"/>
    <w:basedOn w:val="Normal"/>
    <w:pPr>
      <w:widowControl w:val="0"/>
      <w:tabs>
        <w:tab w:val="left" w:pos="-720"/>
      </w:tabs>
      <w:spacing w:after="200" w:line="240" w:lineRule="atLeast"/>
      <w:ind w:left="720"/>
    </w:pPr>
    <w:rPr>
      <w:rFonts w:ascii="Times New Roman" w:hAnsi="Times New Roman"/>
      <w:color w:val="000000"/>
      <w:sz w:val="20"/>
      <w:szCs w:val="20"/>
    </w:rPr>
  </w:style>
  <w:style w:type="paragraph" w:styleId="H3text" w:customStyle="1">
    <w:name w:val="H3text"/>
    <w:basedOn w:val="H2text"/>
    <w:pPr>
      <w:ind w:left="1440"/>
    </w:pPr>
  </w:style>
  <w:style w:type="paragraph" w:styleId="Heading21" w:customStyle="1">
    <w:name w:val="Heading 2.1"/>
    <w:basedOn w:val="Heading2"/>
    <w:pPr>
      <w:keepLines/>
      <w:tabs>
        <w:tab w:val="num" w:pos="2880"/>
      </w:tabs>
      <w:spacing w:before="140" w:after="0" w:line="220" w:lineRule="atLeast"/>
      <w:outlineLvl w:val="9"/>
    </w:pPr>
    <w:rPr>
      <w:rFonts w:cs="Times New Roman"/>
      <w:bCs w:val="0"/>
      <w:i w:val="0"/>
      <w:iCs w:val="0"/>
      <w:smallCaps/>
      <w:spacing w:val="-4"/>
      <w:kern w:val="28"/>
      <w:szCs w:val="20"/>
    </w:rPr>
  </w:style>
  <w:style w:type="paragraph" w:styleId="TOCBase" w:customStyle="1">
    <w:name w:val="TOC Base"/>
    <w:basedOn w:val="Normal"/>
    <w:pPr>
      <w:tabs>
        <w:tab w:val="right" w:leader="dot" w:pos="6480"/>
      </w:tabs>
      <w:spacing w:after="220" w:line="220" w:lineRule="atLeast"/>
    </w:pPr>
    <w:rPr>
      <w:sz w:val="20"/>
      <w:szCs w:val="20"/>
    </w:rPr>
  </w:style>
  <w:style w:type="paragraph" w:styleId="h2text0" w:customStyle="1">
    <w:name w:val="h2text"/>
    <w:basedOn w:val="Normal"/>
    <w:pPr>
      <w:tabs>
        <w:tab w:val="left" w:pos="-720"/>
      </w:tabs>
      <w:spacing w:after="200" w:line="240" w:lineRule="atLeast"/>
      <w:ind w:left="720"/>
    </w:pPr>
    <w:rPr>
      <w:rFonts w:ascii="Times" w:hAnsi="Times"/>
      <w:sz w:val="20"/>
      <w:szCs w:val="20"/>
    </w:rPr>
  </w:style>
  <w:style w:type="paragraph" w:styleId="APPENDIX" w:customStyle="1">
    <w:name w:val="APPENDIX"/>
    <w:basedOn w:val="Heading1"/>
    <w:pPr>
      <w:keepLines/>
      <w:shd w:val="pct10" w:color="auto" w:fill="auto"/>
      <w:spacing w:before="0" w:after="0"/>
      <w:ind w:left="1350"/>
      <w:jc w:val="center"/>
      <w:outlineLvl w:val="9"/>
    </w:pPr>
    <w:rPr>
      <w:rFonts w:cs="Times New Roman"/>
      <w:bCs w:val="0"/>
      <w:spacing w:val="-10"/>
      <w:kern w:val="28"/>
      <w:position w:val="6"/>
      <w:szCs w:val="20"/>
    </w:rPr>
  </w:style>
  <w:style w:type="paragraph" w:styleId="h4text" w:customStyle="1">
    <w:name w:val="h4text"/>
    <w:basedOn w:val="h2text0"/>
    <w:pPr>
      <w:ind w:left="2160"/>
    </w:pPr>
  </w:style>
  <w:style w:type="paragraph" w:styleId="h2bullets" w:customStyle="1">
    <w:name w:val="h2bullets"/>
    <w:basedOn w:val="h2text0"/>
    <w:pPr>
      <w:spacing w:after="0" w:line="240" w:lineRule="auto"/>
      <w:ind w:left="1440" w:hanging="360"/>
    </w:pPr>
  </w:style>
  <w:style w:type="paragraph" w:styleId="h3bullets" w:customStyle="1">
    <w:name w:val="h3bullets"/>
    <w:basedOn w:val="H2text"/>
    <w:pPr>
      <w:widowControl/>
      <w:tabs>
        <w:tab w:val="left" w:pos="432"/>
      </w:tabs>
      <w:ind w:left="1800" w:hanging="432"/>
    </w:pPr>
  </w:style>
  <w:style w:type="paragraph" w:styleId="h1text" w:customStyle="1">
    <w:name w:val="h1text"/>
    <w:basedOn w:val="Normal"/>
    <w:pPr>
      <w:spacing w:after="200"/>
      <w:ind w:left="1080"/>
    </w:pPr>
    <w:rPr>
      <w:rFonts w:ascii="Times New Roman" w:hAnsi="Times New Roman"/>
      <w:sz w:val="20"/>
      <w:szCs w:val="20"/>
    </w:rPr>
  </w:style>
  <w:style w:type="paragraph" w:styleId="Address" w:customStyle="1">
    <w:name w:val="Address"/>
    <w:basedOn w:val="Normal"/>
    <w:pPr>
      <w:tabs>
        <w:tab w:val="left" w:pos="1440"/>
        <w:tab w:val="left" w:pos="2160"/>
      </w:tabs>
      <w:spacing w:after="120"/>
      <w:ind w:left="1080"/>
    </w:pPr>
    <w:rPr>
      <w:rFonts w:ascii="Times New Roman" w:hAnsi="Times New Roman"/>
      <w:sz w:val="20"/>
      <w:szCs w:val="20"/>
    </w:rPr>
  </w:style>
  <w:style w:type="paragraph" w:styleId="Picture" w:customStyle="1">
    <w:name w:val="Picture"/>
    <w:basedOn w:val="Normal"/>
    <w:next w:val="Caption"/>
    <w:pPr>
      <w:keepNext/>
      <w:ind w:left="1080"/>
    </w:pPr>
    <w:rPr>
      <w:rFonts w:ascii="Times New Roman" w:hAnsi="Times New Roman"/>
      <w:sz w:val="20"/>
      <w:szCs w:val="20"/>
    </w:rPr>
  </w:style>
  <w:style w:type="paragraph" w:styleId="h3text0" w:customStyle="1">
    <w:name w:val="h3text"/>
    <w:basedOn w:val="h2text0"/>
    <w:pPr>
      <w:tabs>
        <w:tab w:val="clear" w:pos="-720"/>
      </w:tabs>
      <w:spacing w:line="240" w:lineRule="auto"/>
      <w:ind w:left="1440"/>
    </w:pPr>
    <w:rPr>
      <w:rFonts w:ascii="Times New Roman" w:hAnsi="Times New Roman"/>
    </w:rPr>
  </w:style>
  <w:style w:type="paragraph" w:styleId="tablehead" w:customStyle="1">
    <w:name w:val="tablehead"/>
    <w:basedOn w:val="Heading4"/>
    <w:pPr>
      <w:keepLines/>
      <w:tabs>
        <w:tab w:val="left" w:pos="2160"/>
        <w:tab w:val="num" w:pos="4320"/>
      </w:tabs>
      <w:spacing w:before="140" w:after="0" w:line="220" w:lineRule="atLeast"/>
      <w:ind w:left="864" w:firstLine="1440"/>
      <w:jc w:val="center"/>
      <w:outlineLvl w:val="9"/>
    </w:pPr>
    <w:rPr>
      <w:bCs w:val="0"/>
      <w:i/>
      <w:spacing w:val="-4"/>
      <w:kern w:val="28"/>
      <w:sz w:val="18"/>
      <w:szCs w:val="20"/>
    </w:rPr>
  </w:style>
  <w:style w:type="paragraph" w:styleId="h5text" w:customStyle="1">
    <w:name w:val="h5text"/>
    <w:basedOn w:val="h2text0"/>
    <w:pPr>
      <w:tabs>
        <w:tab w:val="clear" w:pos="-720"/>
      </w:tabs>
      <w:spacing w:line="240" w:lineRule="auto"/>
      <w:ind w:left="2610"/>
    </w:pPr>
    <w:rPr>
      <w:rFonts w:ascii="Times New Roman" w:hAnsi="Times New Roman"/>
    </w:rPr>
  </w:style>
  <w:style w:type="paragraph" w:styleId="sub5" w:customStyle="1">
    <w:name w:val="sub5"/>
    <w:basedOn w:val="Heading5"/>
    <w:pPr>
      <w:keepNext/>
      <w:keepLines/>
      <w:tabs>
        <w:tab w:val="num" w:pos="5040"/>
      </w:tabs>
      <w:spacing w:before="220" w:after="220" w:line="220" w:lineRule="atLeast"/>
      <w:ind w:left="2610" w:firstLine="1440"/>
      <w:outlineLvl w:val="9"/>
    </w:pPr>
    <w:rPr>
      <w:rFonts w:ascii="Times New Roman" w:hAnsi="Times New Roman"/>
      <w:b w:val="0"/>
      <w:bCs w:val="0"/>
      <w:iCs w:val="0"/>
      <w:spacing w:val="-4"/>
      <w:kern w:val="28"/>
      <w:sz w:val="20"/>
      <w:szCs w:val="20"/>
    </w:rPr>
  </w:style>
  <w:style w:type="paragraph" w:styleId="FootnoteBase" w:customStyle="1">
    <w:name w:val="Footnote Base"/>
    <w:basedOn w:val="Normal"/>
    <w:pPr>
      <w:keepLines/>
      <w:spacing w:line="220" w:lineRule="atLeast"/>
      <w:ind w:left="1080"/>
    </w:pPr>
    <w:rPr>
      <w:rFonts w:ascii="Times New Roman" w:hAnsi="Times New Roman"/>
      <w:sz w:val="18"/>
      <w:szCs w:val="20"/>
    </w:rPr>
  </w:style>
  <w:style w:type="paragraph" w:styleId="Text" w:customStyle="1">
    <w:name w:val="Text"/>
    <w:basedOn w:val="Normal"/>
    <w:pPr>
      <w:spacing w:after="300" w:line="300" w:lineRule="exact"/>
      <w:ind w:left="1080"/>
    </w:pPr>
    <w:rPr>
      <w:rFonts w:ascii="Times" w:hAnsi="Times"/>
      <w:sz w:val="20"/>
      <w:szCs w:val="20"/>
    </w:rPr>
  </w:style>
  <w:style w:type="paragraph" w:styleId="Text1bul" w:customStyle="1">
    <w:name w:val="Text1bul"/>
    <w:basedOn w:val="Normal"/>
    <w:pPr>
      <w:spacing w:after="300" w:line="300" w:lineRule="exact"/>
      <w:ind w:left="360" w:hanging="360"/>
    </w:pPr>
    <w:rPr>
      <w:rFonts w:ascii="Times" w:hAnsi="Times"/>
      <w:sz w:val="20"/>
      <w:szCs w:val="20"/>
    </w:rPr>
  </w:style>
  <w:style w:type="paragraph" w:styleId="OmniPage1" w:customStyle="1">
    <w:name w:val="OmniPage #1"/>
    <w:pPr>
      <w:tabs>
        <w:tab w:val="right" w:pos="402"/>
      </w:tabs>
    </w:pPr>
    <w:rPr>
      <w:color w:val="000000"/>
    </w:rPr>
  </w:style>
  <w:style w:type="paragraph" w:styleId="SubheadA" w:customStyle="1">
    <w:name w:val="Subhead A"/>
    <w:basedOn w:val="Normal"/>
    <w:pPr>
      <w:spacing w:line="300" w:lineRule="exact"/>
      <w:ind w:left="1080"/>
    </w:pPr>
    <w:rPr>
      <w:rFonts w:ascii="Times" w:hAnsi="Times"/>
      <w:b/>
      <w:sz w:val="20"/>
      <w:szCs w:val="20"/>
    </w:rPr>
  </w:style>
  <w:style w:type="paragraph" w:styleId="aafixspace" w:customStyle="1">
    <w:name w:val="aafixspace"/>
    <w:basedOn w:val="Normal"/>
    <w:pPr>
      <w:keepLines/>
      <w:widowControl w:val="0"/>
      <w:ind w:left="1080"/>
    </w:pPr>
    <w:rPr>
      <w:rFonts w:ascii="Times New Roman" w:hAnsi="Times New Roman"/>
      <w:sz w:val="20"/>
      <w:szCs w:val="20"/>
    </w:rPr>
  </w:style>
  <w:style w:type="paragraph" w:styleId="BlockQuotation" w:customStyle="1">
    <w:name w:val="Block Quotation"/>
    <w:basedOn w:val="BodyText"/>
    <w:pPr>
      <w:keepLines/>
      <w:pBdr>
        <w:left w:val="single" w:color="808080" w:sz="30" w:space="3"/>
        <w:bottom w:val="single" w:color="FFFFFF" w:sz="30" w:space="3"/>
      </w:pBdr>
      <w:spacing w:after="60" w:line="220" w:lineRule="atLeast"/>
      <w:ind w:left="1440" w:right="720"/>
    </w:pPr>
    <w:rPr>
      <w:rFonts w:ascii="Times New Roman" w:hAnsi="Times New Roman"/>
      <w:i/>
      <w:sz w:val="20"/>
      <w:szCs w:val="20"/>
    </w:rPr>
  </w:style>
  <w:style w:type="paragraph" w:styleId="BodyTextKeep" w:customStyle="1">
    <w:name w:val="Body Text Keep"/>
    <w:basedOn w:val="BodyText"/>
    <w:pPr>
      <w:keepNext/>
      <w:spacing w:after="220" w:line="220" w:lineRule="atLeast"/>
      <w:ind w:left="1080"/>
    </w:pPr>
    <w:rPr>
      <w:rFonts w:ascii="Times New Roman" w:hAnsi="Times New Roman"/>
      <w:sz w:val="20"/>
      <w:szCs w:val="20"/>
    </w:rPr>
  </w:style>
  <w:style w:type="paragraph" w:styleId="DocumentLabel" w:customStyle="1">
    <w:name w:val="Document Label"/>
    <w:basedOn w:val="HeadingBase"/>
    <w:next w:val="BodyText"/>
    <w:pPr>
      <w:spacing w:before="160"/>
    </w:pPr>
    <w:rPr>
      <w:rFonts w:ascii="Times New Roman" w:hAnsi="Times New Roman"/>
      <w:spacing w:val="-30"/>
      <w:sz w:val="60"/>
    </w:rPr>
  </w:style>
  <w:style w:type="paragraph" w:styleId="IndexBase" w:customStyle="1">
    <w:name w:val="Index Base"/>
    <w:basedOn w:val="Normal"/>
    <w:pPr>
      <w:spacing w:line="220" w:lineRule="atLeast"/>
      <w:ind w:left="360"/>
    </w:pPr>
    <w:rPr>
      <w:rFonts w:ascii="Times New Roman" w:hAnsi="Times New Roman"/>
      <w:sz w:val="20"/>
      <w:szCs w:val="20"/>
    </w:rPr>
  </w:style>
  <w:style w:type="paragraph" w:styleId="Index2">
    <w:name w:val="index 2"/>
    <w:basedOn w:val="IndexBase"/>
    <w:pPr>
      <w:tabs>
        <w:tab w:val="right" w:pos="4080"/>
      </w:tabs>
      <w:ind w:left="720" w:hanging="360"/>
    </w:pPr>
  </w:style>
  <w:style w:type="paragraph" w:styleId="Index3">
    <w:name w:val="index 3"/>
    <w:basedOn w:val="IndexBase"/>
    <w:pPr>
      <w:tabs>
        <w:tab w:val="right" w:pos="4080"/>
      </w:tabs>
      <w:ind w:left="720" w:hanging="360"/>
    </w:pPr>
  </w:style>
  <w:style w:type="paragraph" w:styleId="Index4">
    <w:name w:val="index 4"/>
    <w:basedOn w:val="IndexBase"/>
    <w:pPr>
      <w:tabs>
        <w:tab w:val="right" w:pos="4080"/>
      </w:tabs>
      <w:ind w:left="720" w:hanging="360"/>
    </w:pPr>
  </w:style>
  <w:style w:type="paragraph" w:styleId="Index5">
    <w:name w:val="index 5"/>
    <w:basedOn w:val="IndexBase"/>
    <w:pPr>
      <w:tabs>
        <w:tab w:val="right" w:pos="4080"/>
      </w:tabs>
      <w:ind w:left="720" w:hanging="360"/>
    </w:pPr>
  </w:style>
  <w:style w:type="paragraph" w:styleId="SectionHeading" w:customStyle="1">
    <w:name w:val="Section Heading"/>
    <w:basedOn w:val="Heading1"/>
    <w:pPr>
      <w:keepLines/>
      <w:shd w:val="pct10" w:color="auto" w:fill="auto"/>
      <w:spacing w:before="0" w:after="0"/>
      <w:ind w:left="1350"/>
      <w:jc w:val="center"/>
      <w:outlineLvl w:val="9"/>
    </w:pPr>
    <w:rPr>
      <w:rFonts w:cs="Times New Roman"/>
      <w:bCs w:val="0"/>
      <w:spacing w:val="-10"/>
      <w:kern w:val="28"/>
      <w:position w:val="6"/>
      <w:szCs w:val="20"/>
    </w:rPr>
  </w:style>
  <w:style w:type="character" w:styleId="Lead-inEmphasis" w:customStyle="1">
    <w:name w:val="Lead-in Emphasis"/>
    <w:rPr>
      <w:rFonts w:ascii="Arial" w:hAnsi="Arial"/>
      <w:b/>
      <w:spacing w:val="-4"/>
    </w:rPr>
  </w:style>
  <w:style w:type="paragraph" w:styleId="SubtitleCover" w:customStyle="1">
    <w:name w:val="Subtitle Cover"/>
    <w:basedOn w:val="TitleCover"/>
    <w:next w:val="BodyText"/>
    <w:pPr>
      <w:spacing w:before="1520"/>
      <w:ind w:right="1680"/>
    </w:pPr>
    <w:rPr>
      <w:rFonts w:ascii="Times New Roman" w:hAnsi="Times New Roman"/>
      <w:b w:val="0"/>
      <w:i/>
      <w:spacing w:val="-20"/>
      <w:sz w:val="40"/>
    </w:rPr>
  </w:style>
  <w:style w:type="paragraph" w:styleId="TitleCover" w:customStyle="1">
    <w:name w:val="Title Cover"/>
    <w:basedOn w:val="HeadingBase"/>
    <w:next w:val="SubtitleCover"/>
    <w:pPr>
      <w:spacing w:before="1800" w:line="240" w:lineRule="atLeast"/>
    </w:pPr>
    <w:rPr>
      <w:b/>
      <w:spacing w:val="-48"/>
      <w:sz w:val="72"/>
    </w:rPr>
  </w:style>
  <w:style w:type="character" w:styleId="Superscript" w:customStyle="1">
    <w:name w:val="Superscript"/>
    <w:rPr>
      <w:b/>
      <w:vertAlign w:val="superscript"/>
    </w:rPr>
  </w:style>
  <w:style w:type="paragraph" w:styleId="TableofFigures">
    <w:name w:val="table of figures"/>
    <w:basedOn w:val="TOCBase"/>
    <w:pPr>
      <w:ind w:left="1440" w:hanging="360"/>
    </w:pPr>
  </w:style>
  <w:style w:type="paragraph" w:styleId="SectionLabel" w:customStyle="1">
    <w:name w:val="Section Label"/>
    <w:basedOn w:val="HeadingBase"/>
    <w:next w:val="BodyText"/>
    <w:pPr>
      <w:spacing w:before="400" w:after="440"/>
    </w:pPr>
    <w:rPr>
      <w:rFonts w:ascii="Times New Roman" w:hAnsi="Times New Roman"/>
      <w:spacing w:val="-30"/>
      <w:sz w:val="60"/>
    </w:rPr>
  </w:style>
  <w:style w:type="paragraph" w:styleId="FooterFirst" w:customStyle="1">
    <w:name w:val="Footer First"/>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Even" w:customStyle="1">
    <w:name w:val="Footer Even"/>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FooterOdd" w:customStyle="1">
    <w:name w:val="Footer Odd"/>
    <w:basedOn w:val="Footer"/>
    <w:pPr>
      <w:keepLines/>
      <w:pBdr>
        <w:bottom w:val="single" w:color="auto" w:sz="6" w:space="1"/>
      </w:pBdr>
      <w:tabs>
        <w:tab w:val="clear" w:pos="4680"/>
        <w:tab w:val="clear" w:pos="9360"/>
        <w:tab w:val="center" w:pos="4320"/>
        <w:tab w:val="right" w:pos="8640"/>
      </w:tabs>
      <w:spacing w:before="600"/>
    </w:pPr>
    <w:rPr>
      <w:b/>
      <w:spacing w:val="-4"/>
      <w:sz w:val="20"/>
      <w:szCs w:val="20"/>
    </w:rPr>
  </w:style>
  <w:style w:type="paragraph" w:styleId="HeaderFirst" w:customStyle="1">
    <w:name w:val="Header First"/>
    <w:basedOn w:val="Header"/>
    <w:pPr>
      <w:keepLines/>
      <w:tabs>
        <w:tab w:val="clear" w:pos="4680"/>
        <w:tab w:val="clear" w:pos="9360"/>
        <w:tab w:val="center" w:pos="4320"/>
        <w:tab w:val="right" w:pos="8640"/>
      </w:tabs>
    </w:pPr>
    <w:rPr>
      <w:spacing w:val="-4"/>
      <w:sz w:val="20"/>
      <w:szCs w:val="20"/>
    </w:rPr>
  </w:style>
  <w:style w:type="paragraph" w:styleId="HeaderEven" w:customStyle="1">
    <w:name w:val="Header Even"/>
    <w:basedOn w:val="Header"/>
    <w:pPr>
      <w:keepLines/>
      <w:tabs>
        <w:tab w:val="clear" w:pos="4680"/>
        <w:tab w:val="clear" w:pos="9360"/>
        <w:tab w:val="center" w:pos="4320"/>
        <w:tab w:val="right" w:pos="8640"/>
      </w:tabs>
    </w:pPr>
    <w:rPr>
      <w:spacing w:val="-4"/>
      <w:sz w:val="20"/>
      <w:szCs w:val="20"/>
    </w:rPr>
  </w:style>
  <w:style w:type="paragraph" w:styleId="HeaderOdd" w:customStyle="1">
    <w:name w:val="Header Odd"/>
    <w:basedOn w:val="Header"/>
    <w:pPr>
      <w:keepLines/>
      <w:tabs>
        <w:tab w:val="clear" w:pos="4680"/>
        <w:tab w:val="clear" w:pos="9360"/>
        <w:tab w:val="center" w:pos="4320"/>
        <w:tab w:val="right" w:pos="8640"/>
      </w:tabs>
    </w:pPr>
    <w:rPr>
      <w:spacing w:val="-4"/>
      <w:sz w:val="20"/>
      <w:szCs w:val="20"/>
    </w:rPr>
  </w:style>
  <w:style w:type="paragraph" w:styleId="ChapterLabel" w:customStyle="1">
    <w:name w:val="Chapter Label"/>
    <w:basedOn w:val="HeadingBase"/>
    <w:next w:val="ChapterTitle"/>
    <w:pPr>
      <w:spacing w:before="770" w:after="440"/>
    </w:pPr>
    <w:rPr>
      <w:rFonts w:ascii="Times New Roman" w:hAnsi="Times New Roman"/>
      <w:spacing w:val="-30"/>
      <w:sz w:val="60"/>
    </w:rPr>
  </w:style>
  <w:style w:type="paragraph" w:styleId="ChapterTitle" w:customStyle="1">
    <w:name w:val="Chapter Title"/>
    <w:basedOn w:val="HeadingBase"/>
    <w:next w:val="ChapterSubtitle"/>
    <w:pPr>
      <w:spacing w:before="720" w:after="400" w:line="540" w:lineRule="atLeast"/>
      <w:ind w:right="2160"/>
    </w:pPr>
    <w:rPr>
      <w:rFonts w:ascii="Times New Roman" w:hAnsi="Times New Roman"/>
      <w:spacing w:val="-40"/>
      <w:sz w:val="60"/>
    </w:rPr>
  </w:style>
  <w:style w:type="paragraph" w:styleId="ChapterSubtitle" w:customStyle="1">
    <w:name w:val="Chapter Subtitle"/>
    <w:basedOn w:val="ChapterTitle"/>
    <w:next w:val="BodyText"/>
    <w:pPr>
      <w:spacing w:before="0" w:line="400" w:lineRule="atLeast"/>
    </w:pPr>
    <w:rPr>
      <w:i/>
      <w:spacing w:val="-14"/>
      <w:sz w:val="34"/>
    </w:rPr>
  </w:style>
  <w:style w:type="paragraph" w:styleId="ReturnAddress" w:customStyle="1">
    <w:name w:val="Return Address"/>
    <w:basedOn w:val="Normal"/>
    <w:pPr>
      <w:keepLines/>
      <w:framePr w:w="2160" w:h="1200" w:wrap="notBeside" w:hAnchor="page" w:vAnchor="page" w:x="9241" w:y="673" w:anchorLock="1"/>
      <w:spacing w:line="220" w:lineRule="atLeast"/>
    </w:pPr>
    <w:rPr>
      <w:rFonts w:ascii="Times New Roman" w:hAnsi="Times New Roman"/>
      <w:sz w:val="16"/>
      <w:szCs w:val="20"/>
    </w:rPr>
  </w:style>
  <w:style w:type="character" w:styleId="Slogan" w:customStyle="1">
    <w:name w:val="Slogan"/>
    <w:rPr>
      <w:i/>
      <w:spacing w:val="-6"/>
      <w:sz w:val="24"/>
    </w:rPr>
  </w:style>
  <w:style w:type="paragraph" w:styleId="CompanyName" w:customStyle="1">
    <w:name w:val="Company Name"/>
    <w:basedOn w:val="DocumentLabel"/>
    <w:pPr>
      <w:spacing w:before="0"/>
    </w:pPr>
  </w:style>
  <w:style w:type="paragraph" w:styleId="PartLabel" w:customStyle="1">
    <w:name w:val="Part Label"/>
    <w:basedOn w:val="HeadingBase"/>
    <w:next w:val="Normal"/>
    <w:pPr>
      <w:spacing w:before="400" w:after="440"/>
    </w:pPr>
    <w:rPr>
      <w:rFonts w:ascii="Times New Roman" w:hAnsi="Times New Roman"/>
      <w:spacing w:val="-30"/>
      <w:sz w:val="60"/>
    </w:rPr>
  </w:style>
  <w:style w:type="paragraph" w:styleId="PartSubtitle" w:customStyle="1">
    <w:name w:val="Part Subtitle"/>
    <w:basedOn w:val="Normal"/>
    <w:next w:val="BodyText"/>
    <w:pPr>
      <w:keepNext/>
      <w:keepLines/>
      <w:spacing w:after="160" w:line="400" w:lineRule="atLeast"/>
      <w:ind w:left="1080" w:right="2160"/>
    </w:pPr>
    <w:rPr>
      <w:rFonts w:ascii="Times New Roman" w:hAnsi="Times New Roman"/>
      <w:i/>
      <w:spacing w:val="-14"/>
      <w:kern w:val="28"/>
      <w:sz w:val="34"/>
      <w:szCs w:val="20"/>
    </w:rPr>
  </w:style>
  <w:style w:type="paragraph" w:styleId="PartTitle" w:customStyle="1">
    <w:name w:val="Part Title"/>
    <w:basedOn w:val="HeadingBase"/>
    <w:next w:val="PartSubtitle"/>
    <w:pPr>
      <w:spacing w:before="660" w:after="400" w:line="540" w:lineRule="atLeast"/>
      <w:ind w:right="2160"/>
    </w:pPr>
    <w:rPr>
      <w:rFonts w:ascii="Times New Roman" w:hAnsi="Times New Roman"/>
      <w:spacing w:val="-40"/>
      <w:sz w:val="60"/>
    </w:rPr>
  </w:style>
  <w:style w:type="paragraph" w:styleId="TOAHeading">
    <w:name w:val="toa heading"/>
    <w:basedOn w:val="Normal"/>
    <w:next w:val="TableofAuthorities"/>
    <w:pPr>
      <w:keepNext/>
      <w:spacing w:before="240" w:after="120" w:line="360" w:lineRule="exact"/>
      <w:ind w:left="1080"/>
    </w:pPr>
    <w:rPr>
      <w:b/>
      <w:kern w:val="28"/>
      <w:sz w:val="28"/>
      <w:szCs w:val="20"/>
    </w:rPr>
  </w:style>
  <w:style w:type="paragraph" w:styleId="TxBrp0" w:customStyle="1">
    <w:name w:val="TxBr_p0"/>
    <w:basedOn w:val="Normal"/>
    <w:pPr>
      <w:widowControl w:val="0"/>
      <w:tabs>
        <w:tab w:val="left" w:pos="204"/>
      </w:tabs>
      <w:spacing w:line="240" w:lineRule="atLeast"/>
      <w:jc w:val="both"/>
    </w:pPr>
    <w:rPr>
      <w:rFonts w:ascii="Times New Roman" w:hAnsi="Times New Roman"/>
      <w:szCs w:val="20"/>
    </w:rPr>
  </w:style>
  <w:style w:type="paragraph" w:styleId="TxBrp3" w:customStyle="1">
    <w:name w:val="TxBr_p3"/>
    <w:basedOn w:val="Normal"/>
    <w:pPr>
      <w:widowControl w:val="0"/>
      <w:tabs>
        <w:tab w:val="left" w:pos="204"/>
      </w:tabs>
      <w:spacing w:line="240" w:lineRule="atLeast"/>
      <w:jc w:val="both"/>
    </w:pPr>
    <w:rPr>
      <w:rFonts w:ascii="Times New Roman" w:hAnsi="Times New Roman"/>
      <w:szCs w:val="20"/>
    </w:rPr>
  </w:style>
  <w:style w:type="paragraph" w:styleId="TxBrp4" w:customStyle="1">
    <w:name w:val="TxBr_p4"/>
    <w:basedOn w:val="Normal"/>
    <w:pPr>
      <w:widowControl w:val="0"/>
      <w:tabs>
        <w:tab w:val="left" w:pos="204"/>
      </w:tabs>
      <w:spacing w:line="240" w:lineRule="atLeast"/>
      <w:jc w:val="both"/>
    </w:pPr>
    <w:rPr>
      <w:rFonts w:ascii="Times New Roman" w:hAnsi="Times New Roman"/>
      <w:szCs w:val="20"/>
    </w:rPr>
  </w:style>
  <w:style w:type="paragraph" w:styleId="TxBrc2" w:customStyle="1">
    <w:name w:val="TxBr_c2"/>
    <w:basedOn w:val="Normal"/>
    <w:pPr>
      <w:widowControl w:val="0"/>
      <w:spacing w:line="240" w:lineRule="atLeast"/>
      <w:jc w:val="center"/>
    </w:pPr>
    <w:rPr>
      <w:rFonts w:ascii="Times New Roman" w:hAnsi="Times New Roman"/>
      <w:szCs w:val="20"/>
    </w:rPr>
  </w:style>
  <w:style w:type="paragraph" w:styleId="BodyText21" w:customStyle="1">
    <w:name w:val="Body Text 21"/>
    <w:basedOn w:val="Normal"/>
    <w:pPr>
      <w:widowControl w:val="0"/>
      <w:spacing w:line="480" w:lineRule="auto"/>
      <w:jc w:val="both"/>
    </w:pPr>
    <w:rPr>
      <w:rFonts w:ascii="Courier New" w:hAnsi="Courier New"/>
      <w:sz w:val="22"/>
      <w:szCs w:val="20"/>
    </w:rPr>
  </w:style>
  <w:style w:type="character" w:styleId="TitleText2" w:customStyle="1">
    <w:name w:val="TitleText2"/>
    <w:rPr>
      <w:u w:val="single"/>
    </w:rPr>
  </w:style>
  <w:style w:type="paragraph" w:styleId="28" w:customStyle="1">
    <w:name w:val="28"/>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rFonts w:ascii="Arial" w:hAnsi="Arial"/>
      <w:sz w:val="24"/>
    </w:rPr>
  </w:style>
  <w:style w:type="paragraph" w:styleId="Legal2Cont1" w:customStyle="1">
    <w:name w:val="Legal2 Cont 1"/>
    <w:basedOn w:val="Normal"/>
    <w:pPr>
      <w:spacing w:after="240"/>
    </w:pPr>
    <w:rPr>
      <w:rFonts w:ascii="Times New Roman" w:hAnsi="Times New Roman"/>
      <w:sz w:val="20"/>
      <w:szCs w:val="20"/>
    </w:rPr>
  </w:style>
  <w:style w:type="paragraph" w:styleId="Legal2Cont2" w:customStyle="1">
    <w:name w:val="Legal2 Cont 2"/>
    <w:basedOn w:val="Legal2Cont1"/>
  </w:style>
  <w:style w:type="paragraph" w:styleId="Legal2Cont3" w:customStyle="1">
    <w:name w:val="Legal2 Cont 3"/>
    <w:basedOn w:val="Legal2Cont2"/>
  </w:style>
  <w:style w:type="paragraph" w:styleId="Legal2Cont4" w:customStyle="1">
    <w:name w:val="Legal2 Cont 4"/>
    <w:basedOn w:val="Legal2Cont3"/>
  </w:style>
  <w:style w:type="paragraph" w:styleId="Legal2Cont5" w:customStyle="1">
    <w:name w:val="Legal2 Cont 5"/>
    <w:basedOn w:val="Legal2Cont4"/>
  </w:style>
  <w:style w:type="paragraph" w:styleId="Legal2Cont6" w:customStyle="1">
    <w:name w:val="Legal2 Cont 6"/>
    <w:basedOn w:val="Legal2Cont5"/>
  </w:style>
  <w:style w:type="paragraph" w:styleId="Legal2Cont7" w:customStyle="1">
    <w:name w:val="Legal2 Cont 7"/>
    <w:basedOn w:val="Legal2Cont6"/>
  </w:style>
  <w:style w:type="paragraph" w:styleId="Legal2Cont8" w:customStyle="1">
    <w:name w:val="Legal2 Cont 8"/>
    <w:basedOn w:val="Legal2Cont7"/>
  </w:style>
  <w:style w:type="paragraph" w:styleId="Legal2Cont9" w:customStyle="1">
    <w:name w:val="Legal2 Cont 9"/>
    <w:basedOn w:val="Legal2Cont8"/>
  </w:style>
  <w:style w:type="paragraph" w:styleId="Legal2L1" w:customStyle="1">
    <w:name w:val="Legal2_L1"/>
    <w:basedOn w:val="Normal"/>
    <w:next w:val="BodyText"/>
    <w:pPr>
      <w:tabs>
        <w:tab w:val="num" w:pos="720"/>
      </w:tabs>
      <w:spacing w:after="240"/>
      <w:outlineLvl w:val="0"/>
    </w:pPr>
    <w:rPr>
      <w:rFonts w:ascii="Times New Roman" w:hAnsi="Times New Roman"/>
      <w:sz w:val="20"/>
      <w:szCs w:val="20"/>
    </w:rPr>
  </w:style>
  <w:style w:type="paragraph" w:styleId="Legal2L2" w:customStyle="1">
    <w:name w:val="Legal2_L2"/>
    <w:basedOn w:val="Legal2L1"/>
    <w:next w:val="BodyText"/>
    <w:pPr>
      <w:tabs>
        <w:tab w:val="clear" w:pos="720"/>
        <w:tab w:val="num" w:pos="1440"/>
      </w:tabs>
      <w:ind w:firstLine="720"/>
      <w:outlineLvl w:val="1"/>
    </w:pPr>
  </w:style>
  <w:style w:type="paragraph" w:styleId="Legal2L3" w:customStyle="1">
    <w:name w:val="Legal2_L3"/>
    <w:basedOn w:val="Legal2L2"/>
    <w:next w:val="BodyText"/>
    <w:pPr>
      <w:tabs>
        <w:tab w:val="clear" w:pos="1440"/>
        <w:tab w:val="num" w:pos="2160"/>
      </w:tabs>
      <w:ind w:firstLine="1440"/>
      <w:outlineLvl w:val="2"/>
    </w:pPr>
  </w:style>
  <w:style w:type="paragraph" w:styleId="Legal2L4" w:customStyle="1">
    <w:name w:val="Legal2_L4"/>
    <w:basedOn w:val="Legal2L3"/>
    <w:next w:val="BodyText"/>
    <w:pPr>
      <w:tabs>
        <w:tab w:val="clear" w:pos="2160"/>
        <w:tab w:val="num" w:pos="2880"/>
      </w:tabs>
      <w:ind w:firstLine="2160"/>
      <w:outlineLvl w:val="3"/>
    </w:pPr>
  </w:style>
  <w:style w:type="paragraph" w:styleId="Legal2L5" w:customStyle="1">
    <w:name w:val="Legal2_L5"/>
    <w:basedOn w:val="Legal2L4"/>
    <w:next w:val="BodyText"/>
    <w:pPr>
      <w:tabs>
        <w:tab w:val="clear" w:pos="2880"/>
        <w:tab w:val="num" w:pos="3600"/>
      </w:tabs>
      <w:ind w:firstLine="2880"/>
      <w:outlineLvl w:val="4"/>
    </w:pPr>
  </w:style>
  <w:style w:type="paragraph" w:styleId="Legal2L6" w:customStyle="1">
    <w:name w:val="Legal2_L6"/>
    <w:basedOn w:val="Legal2L5"/>
    <w:next w:val="BodyText"/>
    <w:pPr>
      <w:tabs>
        <w:tab w:val="clear" w:pos="3600"/>
        <w:tab w:val="num" w:pos="4320"/>
      </w:tabs>
      <w:ind w:firstLine="3600"/>
      <w:outlineLvl w:val="5"/>
    </w:pPr>
  </w:style>
  <w:style w:type="paragraph" w:styleId="Legal2L7" w:customStyle="1">
    <w:name w:val="Legal2_L7"/>
    <w:basedOn w:val="Legal2L6"/>
    <w:next w:val="BodyText"/>
    <w:pPr>
      <w:tabs>
        <w:tab w:val="clear" w:pos="4320"/>
        <w:tab w:val="num" w:pos="5040"/>
      </w:tabs>
      <w:ind w:firstLine="4320"/>
      <w:outlineLvl w:val="6"/>
    </w:pPr>
  </w:style>
  <w:style w:type="paragraph" w:styleId="Legal2L8" w:customStyle="1">
    <w:name w:val="Legal2_L8"/>
    <w:basedOn w:val="Legal2L7"/>
    <w:next w:val="BodyText"/>
    <w:pPr>
      <w:tabs>
        <w:tab w:val="clear" w:pos="5040"/>
        <w:tab w:val="num" w:pos="5760"/>
      </w:tabs>
      <w:ind w:firstLine="5040"/>
      <w:outlineLvl w:val="7"/>
    </w:pPr>
  </w:style>
  <w:style w:type="paragraph" w:styleId="Legal2L9" w:customStyle="1">
    <w:name w:val="Legal2_L9"/>
    <w:basedOn w:val="Legal2L8"/>
    <w:next w:val="BodyText"/>
    <w:pPr>
      <w:tabs>
        <w:tab w:val="clear" w:pos="5760"/>
        <w:tab w:val="num" w:pos="6480"/>
      </w:tabs>
      <w:ind w:firstLine="5760"/>
      <w:outlineLvl w:val="8"/>
    </w:pPr>
  </w:style>
  <w:style w:type="paragraph" w:styleId="Para" w:customStyle="1">
    <w:name w:val="Para"/>
    <w:basedOn w:val="Normal"/>
    <w:pPr>
      <w:spacing w:after="240"/>
      <w:ind w:firstLine="720"/>
      <w:jc w:val="both"/>
    </w:pPr>
    <w:rPr>
      <w:rFonts w:ascii="Times New Roman" w:hAnsi="Times New Roman"/>
      <w:szCs w:val="20"/>
    </w:rPr>
  </w:style>
  <w:style w:type="character" w:styleId="DeltaViewInsertion" w:customStyle="1">
    <w:name w:val="DeltaView Insertion"/>
    <w:rPr>
      <w:color w:val="0000FF"/>
      <w:spacing w:val="0"/>
      <w:u w:val="double"/>
    </w:rPr>
  </w:style>
  <w:style w:type="paragraph" w:styleId="indentlevel3" w:customStyle="1">
    <w:name w:val="indentlevel3"/>
    <w:basedOn w:val="Normal"/>
    <w:pPr>
      <w:spacing w:before="100" w:beforeAutospacing="1" w:after="100" w:afterAutospacing="1"/>
    </w:pPr>
    <w:rPr>
      <w:rFonts w:ascii="Arial Unicode MS" w:hAnsi="Arial Unicode MS" w:eastAsia="Arial Unicode MS" w:cs="Arial Unicode MS"/>
    </w:rPr>
  </w:style>
  <w:style w:type="paragraph" w:styleId="TitleArial12" w:customStyle="1">
    <w:name w:val="Title Arial 12"/>
    <w:basedOn w:val="Normal"/>
    <w:pPr>
      <w:jc w:val="center"/>
    </w:pPr>
    <w:rPr>
      <w:rFonts w:cs="Arial"/>
      <w:b/>
      <w:smallCaps/>
      <w:szCs w:val="20"/>
    </w:rPr>
  </w:style>
  <w:style w:type="paragraph" w:styleId="Notices" w:customStyle="1">
    <w:name w:val="Notices"/>
    <w:basedOn w:val="Normal"/>
    <w:pPr>
      <w:keepLines/>
      <w:tabs>
        <w:tab w:val="left" w:pos="2160"/>
        <w:tab w:val="right" w:pos="7920"/>
      </w:tabs>
      <w:spacing w:after="240"/>
      <w:ind w:left="4320" w:hanging="2880"/>
    </w:pPr>
    <w:rPr>
      <w:w w:val="0"/>
    </w:rPr>
  </w:style>
  <w:style w:type="paragraph" w:styleId="ArticleExhL1" w:customStyle="1">
    <w:name w:val="ArticleExh_L1"/>
    <w:basedOn w:val="Normal"/>
    <w:next w:val="BodyText"/>
    <w:pPr>
      <w:numPr>
        <w:numId w:val="14"/>
      </w:numPr>
      <w:spacing w:after="240"/>
      <w:jc w:val="center"/>
      <w:outlineLvl w:val="0"/>
    </w:pPr>
    <w:rPr>
      <w:rFonts w:cs="Arial"/>
      <w:b/>
      <w:caps/>
      <w:szCs w:val="20"/>
    </w:rPr>
  </w:style>
  <w:style w:type="paragraph" w:styleId="ArticleExhL2" w:customStyle="1">
    <w:name w:val="ArticleExh_L2"/>
    <w:basedOn w:val="ArticleExhL1"/>
    <w:next w:val="BodyText"/>
    <w:pPr>
      <w:numPr>
        <w:ilvl w:val="1"/>
      </w:numPr>
      <w:jc w:val="both"/>
      <w:outlineLvl w:val="1"/>
    </w:pPr>
    <w:rPr>
      <w:b w:val="0"/>
      <w:caps w:val="0"/>
    </w:rPr>
  </w:style>
  <w:style w:type="paragraph" w:styleId="ArticleExhL3" w:customStyle="1">
    <w:name w:val="ArticleExh_L3"/>
    <w:basedOn w:val="ArticleExhL2"/>
    <w:next w:val="BodyText"/>
    <w:pPr>
      <w:numPr>
        <w:ilvl w:val="2"/>
      </w:numPr>
      <w:outlineLvl w:val="2"/>
    </w:pPr>
  </w:style>
  <w:style w:type="paragraph" w:styleId="ArticleExhL4" w:customStyle="1">
    <w:name w:val="ArticleExh_L4"/>
    <w:basedOn w:val="ArticleExhL3"/>
    <w:next w:val="BodyText"/>
    <w:pPr>
      <w:numPr>
        <w:ilvl w:val="3"/>
      </w:numPr>
      <w:jc w:val="left"/>
      <w:outlineLvl w:val="3"/>
    </w:pPr>
  </w:style>
  <w:style w:type="paragraph" w:styleId="ArticleExhL5" w:customStyle="1">
    <w:name w:val="ArticleExh_L5"/>
    <w:basedOn w:val="ArticleExhL4"/>
    <w:next w:val="BodyText"/>
    <w:pPr>
      <w:numPr>
        <w:ilvl w:val="4"/>
      </w:numPr>
      <w:outlineLvl w:val="4"/>
    </w:pPr>
  </w:style>
  <w:style w:type="paragraph" w:styleId="ArticleExhL6" w:customStyle="1">
    <w:name w:val="ArticleExh_L6"/>
    <w:basedOn w:val="ArticleExhL5"/>
    <w:next w:val="BodyText"/>
    <w:pPr>
      <w:numPr>
        <w:ilvl w:val="5"/>
      </w:numPr>
      <w:outlineLvl w:val="5"/>
    </w:pPr>
  </w:style>
  <w:style w:type="paragraph" w:styleId="ArticleExhL7" w:customStyle="1">
    <w:name w:val="ArticleExh_L7"/>
    <w:basedOn w:val="ArticleExhL6"/>
    <w:next w:val="BodyText"/>
    <w:pPr>
      <w:numPr>
        <w:ilvl w:val="6"/>
      </w:numPr>
      <w:outlineLvl w:val="6"/>
    </w:pPr>
  </w:style>
  <w:style w:type="paragraph" w:styleId="ArticleExhL8" w:customStyle="1">
    <w:name w:val="ArticleExh_L8"/>
    <w:basedOn w:val="ArticleExhL7"/>
    <w:next w:val="BodyText"/>
    <w:pPr>
      <w:numPr>
        <w:ilvl w:val="7"/>
      </w:numPr>
      <w:outlineLvl w:val="7"/>
    </w:pPr>
  </w:style>
  <w:style w:type="paragraph" w:styleId="ArticleExhL9" w:customStyle="1">
    <w:name w:val="ArticleExh_L9"/>
    <w:basedOn w:val="ArticleExhL8"/>
    <w:next w:val="BodyText"/>
    <w:pPr>
      <w:numPr>
        <w:ilvl w:val="8"/>
      </w:numPr>
      <w:outlineLvl w:val="8"/>
    </w:pPr>
  </w:style>
  <w:style w:type="paragraph" w:styleId="Title1" w:customStyle="1">
    <w:name w:val="Title1"/>
    <w:basedOn w:val="Title"/>
    <w:pPr>
      <w:outlineLvl w:val="9"/>
    </w:pPr>
    <w:rPr>
      <w:rFonts w:ascii="Times New Roman" w:hAnsi="Times New Roman"/>
      <w:b w:val="0"/>
    </w:rPr>
  </w:style>
  <w:style w:type="paragraph" w:styleId="Title11" w:customStyle="1">
    <w:name w:val="Title11"/>
    <w:basedOn w:val="Title"/>
    <w:pPr>
      <w:outlineLvl w:val="9"/>
    </w:pPr>
    <w:rPr>
      <w:rFonts w:ascii="Times New Roman" w:hAnsi="Times New Roman"/>
      <w:b w:val="0"/>
    </w:rPr>
  </w:style>
  <w:style w:type="paragraph" w:styleId="MT1" w:customStyle="1">
    <w:name w:val="MT1"/>
    <w:basedOn w:val="Normal"/>
    <w:pPr>
      <w:numPr>
        <w:numId w:val="15"/>
      </w:numPr>
      <w:autoSpaceDE w:val="0"/>
      <w:autoSpaceDN w:val="0"/>
      <w:adjustRightInd w:val="0"/>
      <w:spacing w:after="240"/>
      <w:jc w:val="both"/>
      <w:outlineLvl w:val="0"/>
    </w:pPr>
    <w:rPr>
      <w:rFonts w:ascii="Times New Roman" w:hAnsi="Times New Roman"/>
      <w:szCs w:val="20"/>
      <w:lang w:val="en-CA"/>
    </w:rPr>
  </w:style>
  <w:style w:type="paragraph" w:styleId="MT2" w:customStyle="1">
    <w:name w:val="MT2"/>
    <w:basedOn w:val="Normal"/>
    <w:pPr>
      <w:numPr>
        <w:ilvl w:val="1"/>
        <w:numId w:val="15"/>
      </w:numPr>
      <w:autoSpaceDE w:val="0"/>
      <w:autoSpaceDN w:val="0"/>
      <w:adjustRightInd w:val="0"/>
      <w:spacing w:after="240"/>
      <w:jc w:val="both"/>
      <w:outlineLvl w:val="1"/>
    </w:pPr>
    <w:rPr>
      <w:rFonts w:ascii="Times New Roman" w:hAnsi="Times New Roman"/>
      <w:szCs w:val="20"/>
      <w:lang w:val="en-CA"/>
    </w:rPr>
  </w:style>
  <w:style w:type="paragraph" w:styleId="MT3" w:customStyle="1">
    <w:name w:val="MT3"/>
    <w:basedOn w:val="Normal"/>
    <w:pPr>
      <w:numPr>
        <w:ilvl w:val="2"/>
        <w:numId w:val="15"/>
      </w:numPr>
      <w:autoSpaceDE w:val="0"/>
      <w:autoSpaceDN w:val="0"/>
      <w:adjustRightInd w:val="0"/>
      <w:spacing w:after="240"/>
      <w:jc w:val="both"/>
      <w:outlineLvl w:val="2"/>
    </w:pPr>
    <w:rPr>
      <w:rFonts w:ascii="Times New Roman" w:hAnsi="Times New Roman"/>
      <w:szCs w:val="20"/>
      <w:lang w:val="en-CA"/>
    </w:rPr>
  </w:style>
  <w:style w:type="paragraph" w:styleId="MT4" w:customStyle="1">
    <w:name w:val="MT4"/>
    <w:basedOn w:val="Normal"/>
    <w:pPr>
      <w:numPr>
        <w:ilvl w:val="3"/>
        <w:numId w:val="15"/>
      </w:numPr>
      <w:autoSpaceDE w:val="0"/>
      <w:autoSpaceDN w:val="0"/>
      <w:adjustRightInd w:val="0"/>
      <w:spacing w:after="240"/>
      <w:jc w:val="both"/>
      <w:outlineLvl w:val="3"/>
    </w:pPr>
    <w:rPr>
      <w:rFonts w:ascii="Times New Roman" w:hAnsi="Times New Roman"/>
      <w:szCs w:val="20"/>
      <w:lang w:val="en-CA"/>
    </w:rPr>
  </w:style>
  <w:style w:type="paragraph" w:styleId="MT5" w:customStyle="1">
    <w:name w:val="MT5"/>
    <w:basedOn w:val="Normal"/>
    <w:pPr>
      <w:numPr>
        <w:ilvl w:val="4"/>
        <w:numId w:val="15"/>
      </w:numPr>
      <w:autoSpaceDE w:val="0"/>
      <w:autoSpaceDN w:val="0"/>
      <w:adjustRightInd w:val="0"/>
      <w:spacing w:after="240"/>
      <w:jc w:val="both"/>
      <w:outlineLvl w:val="4"/>
    </w:pPr>
    <w:rPr>
      <w:rFonts w:ascii="Times New Roman" w:hAnsi="Times New Roman"/>
      <w:szCs w:val="20"/>
      <w:lang w:val="en-CA"/>
    </w:rPr>
  </w:style>
  <w:style w:type="paragraph" w:styleId="MT6" w:customStyle="1">
    <w:name w:val="MT6"/>
    <w:basedOn w:val="Normal"/>
    <w:pPr>
      <w:numPr>
        <w:ilvl w:val="5"/>
        <w:numId w:val="15"/>
      </w:numPr>
      <w:autoSpaceDE w:val="0"/>
      <w:autoSpaceDN w:val="0"/>
      <w:adjustRightInd w:val="0"/>
      <w:spacing w:after="240"/>
      <w:jc w:val="both"/>
      <w:outlineLvl w:val="5"/>
    </w:pPr>
    <w:rPr>
      <w:rFonts w:ascii="Times New Roman" w:hAnsi="Times New Roman"/>
      <w:szCs w:val="20"/>
      <w:lang w:val="en-CA"/>
    </w:rPr>
  </w:style>
  <w:style w:type="paragraph" w:styleId="MT7" w:customStyle="1">
    <w:name w:val="MT7"/>
    <w:basedOn w:val="Normal"/>
    <w:pPr>
      <w:numPr>
        <w:ilvl w:val="6"/>
        <w:numId w:val="15"/>
      </w:numPr>
      <w:autoSpaceDE w:val="0"/>
      <w:autoSpaceDN w:val="0"/>
      <w:adjustRightInd w:val="0"/>
      <w:spacing w:after="240"/>
      <w:jc w:val="both"/>
      <w:outlineLvl w:val="6"/>
    </w:pPr>
    <w:rPr>
      <w:rFonts w:ascii="Times New Roman" w:hAnsi="Times New Roman"/>
      <w:szCs w:val="20"/>
      <w:lang w:val="en-CA"/>
    </w:rPr>
  </w:style>
  <w:style w:type="paragraph" w:styleId="MT8" w:customStyle="1">
    <w:name w:val="MT8"/>
    <w:basedOn w:val="Normal"/>
    <w:pPr>
      <w:numPr>
        <w:ilvl w:val="7"/>
        <w:numId w:val="15"/>
      </w:numPr>
      <w:autoSpaceDE w:val="0"/>
      <w:autoSpaceDN w:val="0"/>
      <w:adjustRightInd w:val="0"/>
      <w:spacing w:after="240"/>
      <w:jc w:val="both"/>
      <w:outlineLvl w:val="7"/>
    </w:pPr>
    <w:rPr>
      <w:rFonts w:ascii="Times New Roman" w:hAnsi="Times New Roman"/>
      <w:szCs w:val="20"/>
      <w:lang w:val="en-CA"/>
    </w:rPr>
  </w:style>
  <w:style w:type="paragraph" w:styleId="MT9" w:customStyle="1">
    <w:name w:val="MT9"/>
    <w:basedOn w:val="Normal"/>
    <w:pPr>
      <w:numPr>
        <w:ilvl w:val="8"/>
        <w:numId w:val="15"/>
      </w:numPr>
      <w:autoSpaceDE w:val="0"/>
      <w:autoSpaceDN w:val="0"/>
      <w:adjustRightInd w:val="0"/>
      <w:spacing w:after="240"/>
      <w:jc w:val="both"/>
      <w:outlineLvl w:val="8"/>
    </w:pPr>
    <w:rPr>
      <w:rFonts w:ascii="Times New Roman" w:hAnsi="Times New Roman"/>
      <w:szCs w:val="20"/>
      <w:lang w:val="en-CA"/>
    </w:rPr>
  </w:style>
  <w:style w:type="paragraph" w:styleId="Level2" w:customStyle="1">
    <w:name w:val="Level 2"/>
    <w:basedOn w:val="Normal"/>
    <w:pPr>
      <w:widowControl w:val="0"/>
      <w:numPr>
        <w:ilvl w:val="1"/>
        <w:numId w:val="16"/>
      </w:numPr>
      <w:autoSpaceDE w:val="0"/>
      <w:autoSpaceDN w:val="0"/>
      <w:adjustRightInd w:val="0"/>
      <w:jc w:val="both"/>
      <w:outlineLvl w:val="1"/>
    </w:pPr>
    <w:rPr>
      <w:rFonts w:ascii="Times New Roman" w:hAnsi="Times New Roman"/>
      <w:sz w:val="20"/>
      <w:szCs w:val="20"/>
    </w:rPr>
  </w:style>
  <w:style w:type="paragraph" w:styleId="Level3" w:customStyle="1">
    <w:name w:val="Level 3"/>
    <w:basedOn w:val="Normal"/>
    <w:pPr>
      <w:widowControl w:val="0"/>
      <w:numPr>
        <w:ilvl w:val="2"/>
        <w:numId w:val="16"/>
      </w:numPr>
      <w:autoSpaceDE w:val="0"/>
      <w:autoSpaceDN w:val="0"/>
      <w:adjustRightInd w:val="0"/>
      <w:jc w:val="both"/>
      <w:outlineLvl w:val="2"/>
    </w:pPr>
    <w:rPr>
      <w:rFonts w:ascii="Times New Roman" w:hAnsi="Times New Roman"/>
      <w:sz w:val="20"/>
      <w:szCs w:val="20"/>
    </w:rPr>
  </w:style>
  <w:style w:type="paragraph" w:styleId="Level1" w:customStyle="1">
    <w:name w:val="Level 1"/>
    <w:basedOn w:val="Normal"/>
    <w:pPr>
      <w:widowControl w:val="0"/>
      <w:numPr>
        <w:numId w:val="17"/>
      </w:numPr>
      <w:autoSpaceDE w:val="0"/>
      <w:autoSpaceDN w:val="0"/>
      <w:adjustRightInd w:val="0"/>
      <w:ind w:firstLine="720"/>
      <w:jc w:val="both"/>
      <w:outlineLvl w:val="0"/>
    </w:pPr>
    <w:rPr>
      <w:rFonts w:ascii="Courier" w:hAnsi="Courier"/>
      <w:sz w:val="20"/>
      <w:szCs w:val="20"/>
    </w:rPr>
  </w:style>
  <w:style w:type="paragraph" w:styleId="Level5" w:customStyle="1">
    <w:name w:val="Level 5"/>
    <w:basedOn w:val="Normal"/>
    <w:pPr>
      <w:widowControl w:val="0"/>
      <w:numPr>
        <w:ilvl w:val="4"/>
        <w:numId w:val="17"/>
      </w:numPr>
      <w:autoSpaceDE w:val="0"/>
      <w:autoSpaceDN w:val="0"/>
      <w:adjustRightInd w:val="0"/>
      <w:ind w:firstLine="1440"/>
      <w:jc w:val="both"/>
      <w:outlineLvl w:val="4"/>
    </w:pPr>
    <w:rPr>
      <w:rFonts w:ascii="Courier" w:hAnsi="Courier"/>
      <w:sz w:val="20"/>
      <w:szCs w:val="20"/>
    </w:rPr>
  </w:style>
  <w:style w:type="paragraph" w:styleId="Tax1L1" w:customStyle="1">
    <w:name w:val="Tax1_L1"/>
    <w:basedOn w:val="Normal"/>
    <w:next w:val="Normal"/>
    <w:pPr>
      <w:numPr>
        <w:numId w:val="18"/>
      </w:numPr>
      <w:spacing w:after="240"/>
      <w:jc w:val="center"/>
      <w:outlineLvl w:val="0"/>
    </w:pPr>
    <w:rPr>
      <w:rFonts w:ascii="Times New Roman" w:hAnsi="Times New Roman"/>
      <w:b/>
      <w:szCs w:val="20"/>
    </w:rPr>
  </w:style>
  <w:style w:type="paragraph" w:styleId="Tax1L2" w:customStyle="1">
    <w:name w:val="Tax1_L2"/>
    <w:basedOn w:val="Tax1L1"/>
    <w:next w:val="Normal"/>
    <w:pPr>
      <w:numPr>
        <w:ilvl w:val="1"/>
      </w:numPr>
      <w:jc w:val="left"/>
      <w:outlineLvl w:val="1"/>
    </w:pPr>
    <w:rPr>
      <w:b w:val="0"/>
    </w:rPr>
  </w:style>
  <w:style w:type="paragraph" w:styleId="Tax1L3" w:customStyle="1">
    <w:name w:val="Tax1_L3"/>
    <w:basedOn w:val="Tax1L2"/>
    <w:next w:val="Normal"/>
    <w:pPr>
      <w:numPr>
        <w:ilvl w:val="2"/>
      </w:numPr>
      <w:outlineLvl w:val="2"/>
    </w:pPr>
  </w:style>
  <w:style w:type="paragraph" w:styleId="Tax1L4" w:customStyle="1">
    <w:name w:val="Tax1_L4"/>
    <w:basedOn w:val="Tax1L3"/>
    <w:next w:val="Normal"/>
    <w:pPr>
      <w:numPr>
        <w:ilvl w:val="3"/>
      </w:numPr>
      <w:outlineLvl w:val="3"/>
    </w:pPr>
  </w:style>
  <w:style w:type="paragraph" w:styleId="Tax1L5" w:customStyle="1">
    <w:name w:val="Tax1_L5"/>
    <w:basedOn w:val="Tax1L4"/>
    <w:next w:val="Normal"/>
    <w:pPr>
      <w:numPr>
        <w:ilvl w:val="4"/>
      </w:numPr>
      <w:outlineLvl w:val="4"/>
    </w:pPr>
  </w:style>
  <w:style w:type="paragraph" w:styleId="Tax1L6" w:customStyle="1">
    <w:name w:val="Tax1_L6"/>
    <w:basedOn w:val="Tax1L5"/>
    <w:next w:val="Normal"/>
    <w:pPr>
      <w:numPr>
        <w:ilvl w:val="5"/>
      </w:numPr>
      <w:outlineLvl w:val="5"/>
    </w:pPr>
  </w:style>
  <w:style w:type="paragraph" w:styleId="CenterCaption" w:customStyle="1">
    <w:name w:val="Center Caption"/>
    <w:basedOn w:val="Normal"/>
    <w:next w:val="BodyText"/>
    <w:pPr>
      <w:keepNext/>
      <w:suppressAutoHyphens/>
      <w:overflowPunct w:val="0"/>
      <w:autoSpaceDE w:val="0"/>
      <w:autoSpaceDN w:val="0"/>
      <w:adjustRightInd w:val="0"/>
      <w:spacing w:before="120" w:after="240"/>
      <w:jc w:val="center"/>
      <w:textAlignment w:val="baseline"/>
    </w:pPr>
    <w:rPr>
      <w:rFonts w:ascii="CG Times" w:hAnsi="CG Times"/>
      <w:b/>
      <w:szCs w:val="20"/>
    </w:rPr>
  </w:style>
  <w:style w:type="paragraph" w:styleId="CenteredCaption" w:customStyle="1">
    <w:name w:val="Centered Caption"/>
    <w:basedOn w:val="Normal"/>
    <w:next w:val="BodyText"/>
    <w:pPr>
      <w:overflowPunct w:val="0"/>
      <w:autoSpaceDE w:val="0"/>
      <w:autoSpaceDN w:val="0"/>
      <w:adjustRightInd w:val="0"/>
      <w:spacing w:after="240"/>
      <w:jc w:val="center"/>
      <w:textAlignment w:val="baseline"/>
    </w:pPr>
    <w:rPr>
      <w:rFonts w:ascii="Times New Roman Bold" w:hAnsi="Times New Roman Bold"/>
      <w:b/>
      <w:smallCaps/>
      <w:spacing w:val="10"/>
      <w:sz w:val="28"/>
      <w:szCs w:val="20"/>
      <w:u w:val="single"/>
    </w:rPr>
  </w:style>
  <w:style w:type="paragraph" w:styleId="BodyNotary" w:customStyle="1">
    <w:name w:val="BodyNotary"/>
    <w:basedOn w:val="BodyText"/>
    <w:pPr>
      <w:overflowPunct w:val="0"/>
      <w:autoSpaceDE w:val="0"/>
      <w:autoSpaceDN w:val="0"/>
      <w:adjustRightInd w:val="0"/>
      <w:spacing w:after="0" w:line="480" w:lineRule="auto"/>
      <w:ind w:firstLine="720"/>
      <w:textAlignment w:val="baseline"/>
    </w:pPr>
    <w:rPr>
      <w:rFonts w:ascii="Times New Roman" w:hAnsi="Times New Roman"/>
      <w:szCs w:val="20"/>
    </w:rPr>
  </w:style>
  <w:style w:type="paragraph" w:styleId="ListAlpha" w:customStyle="1">
    <w:name w:val="List Alpha"/>
    <w:basedOn w:val="BodyText"/>
    <w:pPr>
      <w:overflowPunct w:val="0"/>
      <w:autoSpaceDE w:val="0"/>
      <w:autoSpaceDN w:val="0"/>
      <w:adjustRightInd w:val="0"/>
      <w:spacing w:after="0" w:line="480" w:lineRule="auto"/>
      <w:ind w:firstLine="720"/>
      <w:textAlignment w:val="baseline"/>
    </w:pPr>
    <w:rPr>
      <w:rFonts w:ascii="Times New Roman" w:hAnsi="Times New Roman"/>
      <w:spacing w:val="10"/>
      <w:szCs w:val="20"/>
    </w:rPr>
  </w:style>
  <w:style w:type="paragraph" w:styleId="CTAgmt6" w:customStyle="1">
    <w:name w:val="CT Agmt 6"/>
    <w:basedOn w:val="Normal"/>
    <w:pPr>
      <w:tabs>
        <w:tab w:val="num" w:pos="4320"/>
      </w:tabs>
      <w:spacing w:after="240"/>
      <w:ind w:left="4320" w:hanging="720"/>
      <w:jc w:val="both"/>
      <w:outlineLvl w:val="5"/>
    </w:pPr>
    <w:rPr>
      <w:rFonts w:ascii="Times New Roman" w:hAnsi="Times New Roman"/>
      <w:szCs w:val="20"/>
    </w:rPr>
  </w:style>
  <w:style w:type="paragraph" w:styleId="HBody" w:customStyle="1">
    <w:name w:val="HBody"/>
    <w:basedOn w:val="Normal"/>
    <w:pPr>
      <w:spacing w:line="480" w:lineRule="auto"/>
      <w:ind w:firstLine="720"/>
      <w:jc w:val="both"/>
    </w:pPr>
    <w:rPr>
      <w:rFonts w:ascii="Times New Roman" w:hAnsi="Times New Roman"/>
      <w:szCs w:val="20"/>
    </w:rPr>
  </w:style>
  <w:style w:type="paragraph" w:styleId="article5l3" w:customStyle="1">
    <w:name w:val="article5l3"/>
    <w:basedOn w:val="Normal"/>
    <w:pPr>
      <w:tabs>
        <w:tab w:val="num" w:pos="360"/>
      </w:tabs>
      <w:autoSpaceDE w:val="0"/>
      <w:autoSpaceDN w:val="0"/>
      <w:spacing w:before="220"/>
      <w:ind w:left="360" w:hanging="360"/>
      <w:jc w:val="both"/>
    </w:pPr>
    <w:rPr>
      <w:rFonts w:cs="Arial"/>
      <w:color w:val="000000"/>
    </w:rPr>
  </w:style>
  <w:style w:type="paragraph" w:styleId="Article5Cont5" w:customStyle="1">
    <w:name w:val="Article5 Cont 5"/>
    <w:basedOn w:val="Normal"/>
    <w:pPr>
      <w:spacing w:after="240"/>
      <w:jc w:val="both"/>
    </w:pPr>
    <w:rPr>
      <w:rFonts w:ascii="Times New Roman" w:hAnsi="Times New Roman"/>
      <w:sz w:val="20"/>
      <w:szCs w:val="20"/>
    </w:rPr>
  </w:style>
  <w:style w:type="character" w:styleId="DeltaViewDeletion" w:customStyle="1">
    <w:name w:val="DeltaView Deletion"/>
    <w:rPr>
      <w:strike/>
      <w:color w:val="FF0000"/>
      <w:spacing w:val="0"/>
    </w:rPr>
  </w:style>
  <w:style w:type="paragraph" w:styleId="Arial16B" w:customStyle="1">
    <w:name w:val="Arial16B"/>
    <w:basedOn w:val="Normal"/>
    <w:pPr>
      <w:spacing w:before="1220" w:after="240"/>
      <w:jc w:val="center"/>
    </w:pPr>
    <w:rPr>
      <w:rFonts w:cs="Arial"/>
      <w:b/>
      <w:smallCaps/>
      <w:sz w:val="32"/>
      <w:szCs w:val="32"/>
    </w:rPr>
  </w:style>
  <w:style w:type="paragraph" w:styleId="CenterUnderline" w:customStyle="1">
    <w:name w:val="Center Underline"/>
    <w:basedOn w:val="Normal"/>
    <w:next w:val="BodyText"/>
    <w:pPr>
      <w:keepNext/>
      <w:spacing w:after="240"/>
      <w:jc w:val="center"/>
    </w:pPr>
    <w:rPr>
      <w:rFonts w:ascii="Times New Roman" w:hAnsi="Times New Roman"/>
      <w:b/>
      <w:caps/>
      <w:u w:val="single"/>
    </w:rPr>
  </w:style>
  <w:style w:type="paragraph" w:styleId="Otten5L1" w:customStyle="1">
    <w:name w:val="Otten5_L1"/>
    <w:basedOn w:val="Normal"/>
    <w:next w:val="Normal"/>
    <w:pPr>
      <w:numPr>
        <w:numId w:val="23"/>
      </w:numPr>
      <w:spacing w:after="240"/>
      <w:jc w:val="both"/>
      <w:outlineLvl w:val="0"/>
    </w:pPr>
    <w:rPr>
      <w:rFonts w:ascii="Times New Roman" w:hAnsi="Times New Roman"/>
    </w:rPr>
  </w:style>
  <w:style w:type="paragraph" w:styleId="Otten5L2" w:customStyle="1">
    <w:name w:val="Otten5_L2"/>
    <w:basedOn w:val="Otten5L1"/>
    <w:next w:val="Normal"/>
    <w:pPr>
      <w:numPr>
        <w:ilvl w:val="1"/>
      </w:numPr>
      <w:outlineLvl w:val="1"/>
    </w:pPr>
  </w:style>
  <w:style w:type="paragraph" w:styleId="Otten5L3" w:customStyle="1">
    <w:name w:val="Otten5_L3"/>
    <w:basedOn w:val="Otten5L2"/>
    <w:next w:val="Normal"/>
    <w:pPr>
      <w:numPr>
        <w:ilvl w:val="2"/>
      </w:numPr>
      <w:outlineLvl w:val="2"/>
    </w:pPr>
  </w:style>
  <w:style w:type="paragraph" w:styleId="Otten5L4" w:customStyle="1">
    <w:name w:val="Otten5_L4"/>
    <w:basedOn w:val="Otten5L3"/>
    <w:next w:val="Normal"/>
    <w:pPr>
      <w:numPr>
        <w:ilvl w:val="3"/>
      </w:numPr>
      <w:outlineLvl w:val="3"/>
    </w:pPr>
  </w:style>
  <w:style w:type="paragraph" w:styleId="Otten5L5" w:customStyle="1">
    <w:name w:val="Otten5_L5"/>
    <w:basedOn w:val="Otten5L4"/>
    <w:next w:val="Normal"/>
    <w:pPr>
      <w:numPr>
        <w:ilvl w:val="4"/>
      </w:numPr>
      <w:outlineLvl w:val="4"/>
    </w:pPr>
  </w:style>
  <w:style w:type="paragraph" w:styleId="Otten5L6" w:customStyle="1">
    <w:name w:val="Otten5_L6"/>
    <w:basedOn w:val="Otten5L5"/>
    <w:next w:val="Normal"/>
    <w:pPr>
      <w:numPr>
        <w:ilvl w:val="5"/>
      </w:numPr>
      <w:outlineLvl w:val="5"/>
    </w:pPr>
  </w:style>
  <w:style w:type="paragraph" w:styleId="Otten5L7" w:customStyle="1">
    <w:name w:val="Otten5_L7"/>
    <w:basedOn w:val="Otten5L6"/>
    <w:next w:val="Normal"/>
    <w:pPr>
      <w:numPr>
        <w:ilvl w:val="6"/>
      </w:numPr>
      <w:outlineLvl w:val="6"/>
    </w:pPr>
  </w:style>
  <w:style w:type="paragraph" w:styleId="Otten5L8" w:customStyle="1">
    <w:name w:val="Otten5_L8"/>
    <w:basedOn w:val="Otten5L7"/>
    <w:next w:val="Normal"/>
    <w:pPr>
      <w:numPr>
        <w:ilvl w:val="7"/>
      </w:numPr>
      <w:outlineLvl w:val="7"/>
    </w:pPr>
  </w:style>
  <w:style w:type="paragraph" w:styleId="Otten5L9" w:customStyle="1">
    <w:name w:val="Otten5_L9"/>
    <w:basedOn w:val="Otten5L8"/>
    <w:next w:val="Normal"/>
    <w:pPr>
      <w:numPr>
        <w:ilvl w:val="8"/>
      </w:numPr>
      <w:outlineLvl w:val="8"/>
    </w:pPr>
  </w:style>
  <w:style w:type="paragraph" w:styleId="BodyDoubleSp5" w:customStyle="1">
    <w:name w:val="*Body Double Sp .5"/>
    <w:aliases w:val="BD5"/>
    <w:basedOn w:val="Normal"/>
    <w:pPr>
      <w:spacing w:line="480" w:lineRule="auto"/>
      <w:ind w:left="1080" w:firstLine="720"/>
    </w:pPr>
    <w:rPr>
      <w:rFonts w:ascii="Times New Roman" w:hAnsi="Times New Roman"/>
      <w:sz w:val="20"/>
      <w:szCs w:val="20"/>
    </w:rPr>
  </w:style>
  <w:style w:type="paragraph" w:styleId="BodySingleSp5" w:customStyle="1">
    <w:name w:val="*Body Single Sp .5"/>
    <w:aliases w:val="BS5"/>
    <w:basedOn w:val="Normal"/>
    <w:pPr>
      <w:spacing w:after="240"/>
      <w:ind w:left="1080" w:firstLine="720"/>
    </w:pPr>
    <w:rPr>
      <w:rFonts w:ascii="Times New Roman" w:hAnsi="Times New Roman"/>
      <w:sz w:val="20"/>
      <w:szCs w:val="20"/>
    </w:rPr>
  </w:style>
  <w:style w:type="paragraph" w:styleId="BulletListIndent5NoPt" w:customStyle="1">
    <w:name w:val="*Bullet List Indent .5 NoPt"/>
    <w:aliases w:val="NB5N"/>
    <w:basedOn w:val="Normal"/>
    <w:pPr>
      <w:numPr>
        <w:numId w:val="19"/>
      </w:numPr>
    </w:pPr>
    <w:rPr>
      <w:rFonts w:ascii="Times New Roman" w:hAnsi="Times New Roman"/>
      <w:sz w:val="20"/>
      <w:szCs w:val="20"/>
    </w:rPr>
  </w:style>
  <w:style w:type="paragraph" w:styleId="BulletListIndent5" w:customStyle="1">
    <w:name w:val="*Bullet List Indent .5"/>
    <w:aliases w:val="NB5"/>
    <w:basedOn w:val="Normal"/>
    <w:pPr>
      <w:tabs>
        <w:tab w:val="num" w:pos="720"/>
      </w:tabs>
      <w:spacing w:after="240"/>
      <w:ind w:left="1440"/>
    </w:pPr>
    <w:rPr>
      <w:rFonts w:ascii="Times New Roman" w:hAnsi="Times New Roman"/>
      <w:sz w:val="20"/>
      <w:szCs w:val="20"/>
    </w:rPr>
  </w:style>
  <w:style w:type="paragraph" w:styleId="CapSignature" w:customStyle="1">
    <w:name w:val="*Cap Signature"/>
    <w:aliases w:val="CapSig"/>
    <w:basedOn w:val="Normal"/>
    <w:pPr>
      <w:keepNext/>
      <w:numPr>
        <w:numId w:val="24"/>
      </w:numPr>
      <w:tabs>
        <w:tab w:val="clear" w:pos="1440"/>
        <w:tab w:val="right" w:pos="9360"/>
      </w:tabs>
      <w:ind w:left="4320" w:firstLine="0"/>
    </w:pPr>
    <w:rPr>
      <w:rFonts w:ascii="Times New Roman" w:hAnsi="Times New Roman"/>
      <w:sz w:val="20"/>
      <w:szCs w:val="20"/>
    </w:rPr>
  </w:style>
  <w:style w:type="paragraph" w:styleId="FlushRightDotLeader" w:customStyle="1">
    <w:name w:val="*Flush Right Dot Leader"/>
    <w:aliases w:val="FRD"/>
    <w:basedOn w:val="Normal"/>
    <w:pPr>
      <w:numPr>
        <w:numId w:val="25"/>
      </w:numPr>
      <w:tabs>
        <w:tab w:val="clear" w:pos="1440"/>
        <w:tab w:val="right" w:leader="dot" w:pos="9360"/>
      </w:tabs>
      <w:ind w:left="1080" w:firstLine="0"/>
    </w:pPr>
    <w:rPr>
      <w:rFonts w:ascii="Times New Roman" w:hAnsi="Times New Roman"/>
      <w:sz w:val="20"/>
      <w:szCs w:val="20"/>
    </w:rPr>
  </w:style>
  <w:style w:type="paragraph" w:styleId="Numbereed105" w:customStyle="1">
    <w:name w:val="*Numbereed 1 0/.5"/>
    <w:aliases w:val="N105"/>
    <w:basedOn w:val="Normal"/>
    <w:pPr>
      <w:numPr>
        <w:numId w:val="21"/>
      </w:numPr>
      <w:spacing w:after="240"/>
    </w:pPr>
    <w:rPr>
      <w:rFonts w:ascii="Times New Roman" w:hAnsi="Times New Roman"/>
      <w:sz w:val="20"/>
      <w:szCs w:val="20"/>
    </w:rPr>
  </w:style>
  <w:style w:type="paragraph" w:styleId="NummberedA05" w:customStyle="1">
    <w:name w:val="*Nummbered A 0/.5"/>
    <w:aliases w:val="NA05"/>
    <w:basedOn w:val="Normal"/>
    <w:pPr>
      <w:numPr>
        <w:numId w:val="22"/>
      </w:numPr>
      <w:spacing w:after="240"/>
    </w:pPr>
    <w:rPr>
      <w:rFonts w:ascii="Times New Roman" w:hAnsi="Times New Roman"/>
      <w:sz w:val="20"/>
      <w:szCs w:val="20"/>
    </w:rPr>
  </w:style>
  <w:style w:type="paragraph" w:styleId="Quote011" w:customStyle="1">
    <w:name w:val="*Quote 0/1/1"/>
    <w:aliases w:val="Q"/>
    <w:basedOn w:val="Normal"/>
    <w:pPr>
      <w:numPr>
        <w:numId w:val="26"/>
      </w:numPr>
      <w:tabs>
        <w:tab w:val="clear" w:pos="1440"/>
      </w:tabs>
      <w:spacing w:after="240"/>
      <w:ind w:left="1440" w:right="1440" w:firstLine="0"/>
      <w:jc w:val="both"/>
    </w:pPr>
    <w:rPr>
      <w:rFonts w:ascii="Times New Roman" w:hAnsi="Times New Roman"/>
      <w:sz w:val="20"/>
      <w:szCs w:val="20"/>
    </w:rPr>
  </w:style>
  <w:style w:type="paragraph" w:styleId="ShortLines" w:customStyle="1">
    <w:name w:val="*Short Lines"/>
    <w:aliases w:val="SL"/>
    <w:basedOn w:val="Normal"/>
    <w:pPr>
      <w:numPr>
        <w:numId w:val="27"/>
      </w:numPr>
      <w:tabs>
        <w:tab w:val="clear" w:pos="1440"/>
      </w:tabs>
      <w:ind w:left="1080" w:firstLine="0"/>
    </w:pPr>
    <w:rPr>
      <w:rFonts w:ascii="Times New Roman" w:hAnsi="Times New Roman"/>
      <w:sz w:val="20"/>
      <w:szCs w:val="20"/>
    </w:rPr>
  </w:style>
  <w:style w:type="paragraph" w:styleId="SignatureDouble" w:customStyle="1">
    <w:name w:val="*Signature Double"/>
    <w:aliases w:val="SD"/>
    <w:basedOn w:val="Normal"/>
    <w:pPr>
      <w:keepLines/>
      <w:tabs>
        <w:tab w:val="right" w:pos="4320"/>
        <w:tab w:val="left" w:pos="5040"/>
        <w:tab w:val="right" w:pos="9360"/>
      </w:tabs>
      <w:spacing w:after="240"/>
      <w:ind w:left="1080"/>
    </w:pPr>
    <w:rPr>
      <w:rFonts w:ascii="Times New Roman" w:hAnsi="Times New Roman"/>
      <w:sz w:val="20"/>
      <w:szCs w:val="20"/>
    </w:rPr>
  </w:style>
  <w:style w:type="paragraph" w:styleId="Signature0" w:customStyle="1">
    <w:name w:val="*Signature"/>
    <w:aliases w:val="SIG"/>
    <w:basedOn w:val="Normal"/>
    <w:pPr>
      <w:keepLines/>
      <w:tabs>
        <w:tab w:val="right" w:pos="9360"/>
      </w:tabs>
      <w:ind w:left="5040"/>
    </w:pPr>
    <w:rPr>
      <w:rFonts w:ascii="Book Antiqua" w:hAnsi="Book Antiqua"/>
      <w:sz w:val="20"/>
      <w:szCs w:val="20"/>
    </w:rPr>
  </w:style>
  <w:style w:type="paragraph" w:styleId="TitleCenterBoldAllCaps" w:customStyle="1">
    <w:name w:val="*Title Center Bold All Caps"/>
    <w:aliases w:val="TCBA"/>
    <w:basedOn w:val="Normal"/>
    <w:pPr>
      <w:keepNext/>
      <w:spacing w:after="240"/>
      <w:ind w:left="1080"/>
      <w:jc w:val="center"/>
    </w:pPr>
    <w:rPr>
      <w:rFonts w:ascii="Times New Roman" w:hAnsi="Times New Roman"/>
      <w:b/>
      <w:caps/>
      <w:sz w:val="20"/>
      <w:szCs w:val="20"/>
    </w:rPr>
  </w:style>
  <w:style w:type="paragraph" w:styleId="TitleCenterBoldUnderlineAllCaps" w:customStyle="1">
    <w:name w:val="*Title Center Bold Underline All Caps"/>
    <w:aliases w:val="TCBUA"/>
    <w:basedOn w:val="Normal"/>
    <w:pPr>
      <w:keepNext/>
      <w:spacing w:after="240"/>
      <w:ind w:left="1080"/>
      <w:jc w:val="center"/>
    </w:pPr>
    <w:rPr>
      <w:rFonts w:ascii="Times New Roman" w:hAnsi="Times New Roman"/>
      <w:b/>
      <w:caps/>
      <w:sz w:val="20"/>
      <w:szCs w:val="20"/>
      <w:u w:val="single"/>
    </w:rPr>
  </w:style>
  <w:style w:type="paragraph" w:styleId="Hbody0" w:customStyle="1">
    <w:name w:val="Hbody"/>
    <w:basedOn w:val="Normal"/>
    <w:pPr>
      <w:spacing w:after="240"/>
      <w:ind w:left="1080"/>
    </w:pPr>
    <w:rPr>
      <w:rFonts w:ascii="Times New Roman" w:hAnsi="Times New Roman"/>
      <w:sz w:val="20"/>
      <w:szCs w:val="20"/>
    </w:rPr>
  </w:style>
  <w:style w:type="paragraph" w:styleId="Quote1" w:customStyle="1">
    <w:name w:val="Quote1"/>
    <w:basedOn w:val="Normal"/>
    <w:pPr>
      <w:overflowPunct w:val="0"/>
      <w:autoSpaceDE w:val="0"/>
      <w:autoSpaceDN w:val="0"/>
      <w:adjustRightInd w:val="0"/>
      <w:spacing w:after="240"/>
      <w:ind w:left="1440" w:right="1440"/>
      <w:jc w:val="both"/>
      <w:textAlignment w:val="baseline"/>
    </w:pPr>
  </w:style>
  <w:style w:type="paragraph" w:styleId="ListParagraph">
    <w:name w:val="List Paragraph"/>
    <w:basedOn w:val="Normal"/>
    <w:uiPriority w:val="34"/>
    <w:qFormat/>
    <w:pPr>
      <w:ind w:left="720"/>
    </w:pPr>
  </w:style>
  <w:style w:type="paragraph" w:styleId="StandardL1" w:customStyle="1">
    <w:name w:val="Standard_L1"/>
    <w:basedOn w:val="Normal"/>
    <w:next w:val="Normal"/>
    <w:pPr>
      <w:keepNext/>
      <w:numPr>
        <w:numId w:val="28"/>
      </w:numPr>
      <w:spacing w:after="240"/>
      <w:jc w:val="center"/>
      <w:outlineLvl w:val="0"/>
    </w:pPr>
    <w:rPr>
      <w:rFonts w:cs="Arial"/>
      <w:szCs w:val="20"/>
    </w:rPr>
  </w:style>
  <w:style w:type="paragraph" w:styleId="StandardL2" w:customStyle="1">
    <w:name w:val="Standard_L2"/>
    <w:basedOn w:val="StandardL1"/>
    <w:next w:val="Normal"/>
    <w:pPr>
      <w:keepNext w:val="0"/>
      <w:numPr>
        <w:ilvl w:val="1"/>
      </w:numPr>
      <w:jc w:val="both"/>
      <w:outlineLvl w:val="1"/>
    </w:pPr>
  </w:style>
  <w:style w:type="paragraph" w:styleId="StandardL3" w:customStyle="1">
    <w:name w:val="Standard_L3"/>
    <w:basedOn w:val="StandardL2"/>
    <w:next w:val="Normal"/>
    <w:link w:val="StandardL3Char"/>
    <w:pPr>
      <w:numPr>
        <w:ilvl w:val="2"/>
      </w:numPr>
      <w:outlineLvl w:val="2"/>
    </w:pPr>
    <w:rPr>
      <w:rFonts w:cs="Times New Roman"/>
      <w:lang w:val="x-none" w:eastAsia="x-none"/>
    </w:rPr>
  </w:style>
  <w:style w:type="paragraph" w:styleId="StandardL4" w:customStyle="1">
    <w:name w:val="Standard_L4"/>
    <w:basedOn w:val="StandardL3"/>
    <w:next w:val="Normal"/>
    <w:pPr>
      <w:numPr>
        <w:ilvl w:val="3"/>
      </w:numPr>
      <w:outlineLvl w:val="3"/>
    </w:pPr>
  </w:style>
  <w:style w:type="paragraph" w:styleId="StandardL5" w:customStyle="1">
    <w:name w:val="Standard_L5"/>
    <w:basedOn w:val="StandardL4"/>
    <w:next w:val="Normal"/>
    <w:pPr>
      <w:numPr>
        <w:ilvl w:val="4"/>
      </w:numPr>
      <w:outlineLvl w:val="4"/>
    </w:pPr>
  </w:style>
  <w:style w:type="paragraph" w:styleId="StandardL6" w:customStyle="1">
    <w:name w:val="Standard_L6"/>
    <w:basedOn w:val="StandardL5"/>
    <w:next w:val="Normal"/>
    <w:pPr>
      <w:numPr>
        <w:ilvl w:val="5"/>
      </w:numPr>
      <w:jc w:val="left"/>
      <w:outlineLvl w:val="5"/>
    </w:pPr>
  </w:style>
  <w:style w:type="paragraph" w:styleId="StandardL7" w:customStyle="1">
    <w:name w:val="Standard_L7"/>
    <w:basedOn w:val="StandardL6"/>
    <w:next w:val="Normal"/>
    <w:pPr>
      <w:numPr>
        <w:ilvl w:val="6"/>
      </w:numPr>
      <w:outlineLvl w:val="6"/>
    </w:pPr>
  </w:style>
  <w:style w:type="paragraph" w:styleId="StandardL8" w:customStyle="1">
    <w:name w:val="Standard_L8"/>
    <w:basedOn w:val="StandardL7"/>
    <w:next w:val="Normal"/>
    <w:pPr>
      <w:numPr>
        <w:ilvl w:val="7"/>
      </w:numPr>
      <w:outlineLvl w:val="7"/>
    </w:pPr>
  </w:style>
  <w:style w:type="paragraph" w:styleId="StandardL9" w:customStyle="1">
    <w:name w:val="Standard_L9"/>
    <w:basedOn w:val="StandardL8"/>
    <w:next w:val="Normal"/>
    <w:pPr>
      <w:numPr>
        <w:ilvl w:val="8"/>
      </w:numPr>
      <w:outlineLvl w:val="8"/>
    </w:pPr>
  </w:style>
  <w:style w:type="character" w:styleId="StandardL3Char" w:customStyle="1">
    <w:name w:val="Standard_L3 Char"/>
    <w:link w:val="StandardL3"/>
    <w:rPr>
      <w:rFonts w:ascii="Arial" w:hAnsi="Arial"/>
      <w:sz w:val="24"/>
      <w:lang w:val="x-none" w:eastAsia="x-none"/>
    </w:rPr>
  </w:style>
  <w:style w:type="character" w:styleId="BodyTextFirstIndentChar" w:customStyle="1">
    <w:name w:val="Body Text First Indent Char"/>
    <w:link w:val="BodyTextFirstIndent"/>
    <w:rPr>
      <w:rFonts w:ascii="Arial" w:hAnsi="Arial"/>
      <w:sz w:val="24"/>
      <w:szCs w:val="24"/>
    </w:rPr>
  </w:style>
  <w:style w:type="character" w:styleId="BodyTextChar" w:customStyle="1">
    <w:name w:val="Body Text Char"/>
    <w:aliases w:val="bt Char"/>
    <w:link w:val="BodyText"/>
    <w:rPr>
      <w:rFonts w:ascii="Arial" w:hAnsi="Arial"/>
      <w:sz w:val="24"/>
      <w:szCs w:val="24"/>
    </w:rPr>
  </w:style>
  <w:style w:type="character" w:styleId="FooterChar" w:customStyle="1">
    <w:name w:val="Footer Char"/>
    <w:link w:val="Footer"/>
    <w:uiPriority w:val="99"/>
    <w:rPr>
      <w:rFonts w:ascii="Arial" w:hAnsi="Arial"/>
      <w:sz w:val="24"/>
      <w:szCs w:val="24"/>
    </w:rPr>
  </w:style>
  <w:style w:type="character" w:styleId="HeaderChar" w:customStyle="1">
    <w:name w:val="Header Char"/>
    <w:link w:val="Header"/>
    <w:uiPriority w:val="99"/>
    <w:rPr>
      <w:rFonts w:ascii="Arial" w:hAnsi="Arial"/>
      <w:sz w:val="24"/>
      <w:szCs w:val="24"/>
    </w:rPr>
  </w:style>
  <w:style w:type="character" w:styleId="SignatureChar" w:customStyle="1">
    <w:name w:val="Signature Char"/>
    <w:link w:val="Signature"/>
    <w:rPr>
      <w:rFonts w:ascii="Arial" w:hAnsi="Arial"/>
      <w:sz w:val="24"/>
      <w:szCs w:val="24"/>
    </w:rPr>
  </w:style>
  <w:style w:type="character" w:styleId="TitleChar" w:customStyle="1">
    <w:name w:val="Title Char"/>
    <w:aliases w:val="t Char"/>
    <w:link w:val="Title"/>
    <w:rPr>
      <w:rFonts w:ascii="Arial" w:hAnsi="Arial" w:cs="Arial"/>
      <w:b/>
      <w:bCs/>
      <w:sz w:val="24"/>
      <w:szCs w:val="24"/>
    </w:rPr>
  </w:style>
  <w:style w:type="paragraph" w:styleId="Style2" w:customStyle="1">
    <w:name w:val="Style2"/>
    <w:basedOn w:val="Normal"/>
    <w:link w:val="Style2Char"/>
    <w:qFormat/>
    <w:pPr>
      <w:spacing w:after="240"/>
      <w:ind w:firstLine="720"/>
      <w:jc w:val="both"/>
    </w:pPr>
    <w:rPr>
      <w:lang w:val="x-none" w:eastAsia="x-none"/>
    </w:rPr>
  </w:style>
  <w:style w:type="character" w:styleId="SubtitleChar" w:customStyle="1">
    <w:name w:val="Subtitle Char"/>
    <w:link w:val="Subtitle"/>
    <w:rPr>
      <w:rFonts w:ascii="Arial" w:hAnsi="Arial" w:cs="Arial"/>
      <w:sz w:val="24"/>
      <w:szCs w:val="24"/>
    </w:rPr>
  </w:style>
  <w:style w:type="character" w:styleId="Style2Char" w:customStyle="1">
    <w:name w:val="Style2 Char"/>
    <w:link w:val="Style2"/>
    <w:rPr>
      <w:rFonts w:ascii="Arial" w:hAnsi="Arial" w:cs="Arial"/>
      <w:sz w:val="24"/>
      <w:szCs w:val="24"/>
    </w:rPr>
  </w:style>
  <w:style w:type="paragraph" w:styleId="TitleUnderline" w:customStyle="1">
    <w:name w:val="Title Underline"/>
    <w:basedOn w:val="Title"/>
    <w:next w:val="BodyText"/>
    <w:rPr>
      <w:rFonts w:ascii="Times New Roman" w:hAnsi="Times New Roman"/>
      <w:bCs w:val="0"/>
      <w:caps/>
      <w:kern w:val="28"/>
      <w:sz w:val="23"/>
      <w:szCs w:val="20"/>
      <w:u w:val="single"/>
    </w:rPr>
  </w:style>
  <w:style w:type="paragraph" w:styleId="DatedSignature" w:customStyle="1">
    <w:name w:val="Dated Signature"/>
    <w:basedOn w:val="Normal"/>
    <w:pPr>
      <w:keepNext/>
      <w:tabs>
        <w:tab w:val="left" w:pos="4680"/>
        <w:tab w:val="right" w:leader="underscore" w:pos="9360"/>
      </w:tabs>
      <w:spacing w:after="240"/>
      <w:ind w:left="4680" w:hanging="4680"/>
    </w:pPr>
    <w:rPr>
      <w:rFonts w:ascii="Times New Roman" w:hAnsi="Times New Roman"/>
      <w:b/>
      <w:szCs w:val="20"/>
    </w:rPr>
  </w:style>
  <w:style w:type="paragraph" w:styleId="BodyText11" w:customStyle="1">
    <w:name w:val="Body Text 11"/>
    <w:basedOn w:val="BodyText"/>
    <w:pPr>
      <w:jc w:val="both"/>
    </w:pPr>
    <w:rPr>
      <w:sz w:val="22"/>
      <w:szCs w:val="20"/>
    </w:rPr>
  </w:style>
  <w:style w:type="paragraph" w:styleId="DoubleIndent11" w:customStyle="1">
    <w:name w:val="Double Indent 11"/>
    <w:basedOn w:val="Normal"/>
    <w:pPr>
      <w:spacing w:after="240"/>
      <w:ind w:left="720" w:right="720"/>
      <w:jc w:val="both"/>
    </w:pPr>
    <w:rPr>
      <w:sz w:val="22"/>
    </w:rPr>
  </w:style>
  <w:style w:type="paragraph" w:styleId="BodyCenter" w:customStyle="1">
    <w:name w:val="Body Center"/>
    <w:basedOn w:val="Normal"/>
    <w:pPr>
      <w:jc w:val="center"/>
    </w:pPr>
    <w:rPr>
      <w:i/>
      <w:szCs w:val="20"/>
    </w:rPr>
  </w:style>
  <w:style w:type="paragraph" w:styleId="BodyTextHang" w:customStyle="1">
    <w:name w:val="Body Text Hang"/>
    <w:basedOn w:val="BodyText"/>
    <w:pPr>
      <w:ind w:left="1440" w:hanging="1440"/>
      <w:jc w:val="both"/>
    </w:pPr>
    <w:rPr>
      <w:sz w:val="20"/>
      <w:szCs w:val="20"/>
    </w:rPr>
  </w:style>
  <w:style w:type="paragraph" w:styleId="Revision">
    <w:name w:val="Revision"/>
    <w:hidden/>
    <w:uiPriority w:val="99"/>
    <w:semiHidden/>
    <w:rPr>
      <w:rFonts w:ascii="Arial" w:hAnsi="Arial"/>
      <w:sz w:val="24"/>
      <w:szCs w:val="24"/>
    </w:rPr>
  </w:style>
  <w:style w:type="character" w:styleId="PlainTextChar" w:customStyle="1">
    <w:name w:val="Plain Text Char"/>
    <w:link w:val="PlainText"/>
    <w:uiPriority w:val="99"/>
    <w:rPr>
      <w:rFonts w:ascii="Courier New" w:hAnsi="Courier New" w:cs="Courier New"/>
    </w:rPr>
  </w:style>
  <w:style w:type="paragraph" w:styleId="Heading2Text" w:customStyle="1">
    <w:name w:val="Heading 2 Text"/>
    <w:aliases w:val="h2t"/>
    <w:link w:val="Heading2TextChar"/>
    <w:qFormat/>
    <w:pPr>
      <w:tabs>
        <w:tab w:val="left" w:pos="540"/>
      </w:tabs>
      <w:spacing w:after="240"/>
      <w:ind w:left="540"/>
      <w:jc w:val="both"/>
    </w:pPr>
    <w:rPr>
      <w:sz w:val="24"/>
    </w:rPr>
  </w:style>
  <w:style w:type="paragraph" w:styleId="ESAParaa" w:customStyle="1">
    <w:name w:val="ESA Para (a)"/>
    <w:basedOn w:val="Normal"/>
    <w:next w:val="Normal"/>
    <w:qFormat/>
    <w:pPr>
      <w:spacing w:after="240"/>
      <w:ind w:firstLine="1440"/>
    </w:pPr>
    <w:rPr>
      <w:rFonts w:ascii="Times New Roman" w:hAnsi="Times New Roman" w:eastAsia="Calibri"/>
      <w:sz w:val="22"/>
      <w:szCs w:val="22"/>
    </w:rPr>
  </w:style>
  <w:style w:type="character" w:styleId="PlaceholderText">
    <w:name w:val="Placeholder Text"/>
    <w:uiPriority w:val="99"/>
    <w:semiHidden/>
    <w:rPr>
      <w:color w:val="808080"/>
    </w:rPr>
  </w:style>
  <w:style w:type="character" w:styleId="Heading2TextChar" w:customStyle="1">
    <w:name w:val="Heading 2 Text Char"/>
    <w:link w:val="Heading2Text"/>
    <w:rPr>
      <w:sz w:val="24"/>
    </w:rPr>
  </w:style>
  <w:style w:type="paragraph" w:styleId="Definition" w:customStyle="1">
    <w:name w:val="Definition"/>
    <w:basedOn w:val="Normal"/>
    <w:qFormat/>
    <w:pPr>
      <w:spacing w:before="240" w:after="240"/>
    </w:pPr>
    <w:rPr>
      <w:rFonts w:ascii="Times New Roman" w:hAnsi="Times New Roman" w:eastAsia="Calibri"/>
    </w:rPr>
  </w:style>
  <w:style w:type="numbering" w:styleId="Headings" w:customStyle="1">
    <w:name w:val="Headings"/>
    <w:uiPriority w:val="99"/>
    <w:pPr>
      <w:numPr>
        <w:numId w:val="47"/>
      </w:numPr>
    </w:pPr>
  </w:style>
  <w:style w:type="paragraph" w:styleId="Quote">
    <w:name w:val="Quote"/>
    <w:basedOn w:val="Normal"/>
    <w:next w:val="Normal"/>
    <w:link w:val="QuoteChar"/>
    <w:qFormat/>
    <w:pPr>
      <w:spacing w:after="240"/>
      <w:ind w:left="1440" w:right="1440"/>
    </w:pPr>
    <w:rPr>
      <w:rFonts w:ascii="Times New Roman" w:hAnsi="Times New Roman" w:eastAsiaTheme="minorHAnsi" w:cstheme="minorBidi"/>
      <w:szCs w:val="22"/>
    </w:rPr>
  </w:style>
  <w:style w:type="character" w:styleId="QuoteChar" w:customStyle="1">
    <w:name w:val="Quote Char"/>
    <w:basedOn w:val="DefaultParagraphFont"/>
    <w:link w:val="Quote"/>
    <w:rPr>
      <w:rFonts w:eastAsiaTheme="minorHAnsi" w:cstheme="minorBidi"/>
      <w:sz w:val="24"/>
      <w:szCs w:val="22"/>
    </w:rPr>
  </w:style>
  <w:style w:type="character" w:styleId="FootnoteTextChar" w:customStyle="1">
    <w:name w:val="Footnote Text Char"/>
    <w:basedOn w:val="DefaultParagraphFont"/>
    <w:link w:val="FootnoteText"/>
    <w:rPr>
      <w:rFonts w:ascii="Arial" w:hAnsi="Arial"/>
      <w:sz w:val="24"/>
      <w:szCs w:val="24"/>
      <w:lang w:val="x-none" w:eastAsia="x-none"/>
    </w:rPr>
  </w:style>
  <w:style w:type="paragraph" w:styleId="AppendixHeading" w:customStyle="1">
    <w:name w:val="Appendix Heading"/>
    <w:pPr>
      <w:numPr>
        <w:numId w:val="57"/>
      </w:numPr>
      <w:tabs>
        <w:tab w:val="num" w:pos="0"/>
      </w:tabs>
      <w:jc w:val="center"/>
    </w:pPr>
    <w:rPr>
      <w:b/>
      <w:bCs/>
      <w:color w:val="000000"/>
      <w:kern w:val="28"/>
      <w:sz w:val="24"/>
      <w:szCs w:val="24"/>
    </w:rPr>
  </w:style>
  <w:style w:type="character" w:styleId="UnresolvedMention">
    <w:name w:val="Unresolved Mention"/>
    <w:basedOn w:val="DefaultParagraphFont"/>
    <w:uiPriority w:val="99"/>
    <w:semiHidden/>
    <w:unhideWhenUsed/>
    <w:rPr>
      <w:color w:val="605E5C"/>
      <w:shd w:val="clear" w:color="auto" w:fill="E1DFDD"/>
    </w:rPr>
  </w:style>
  <w:style w:type="character" w:styleId="CommentTextChar" w:customStyle="1">
    <w:name w:val="Comment Text Char"/>
    <w:basedOn w:val="DefaultParagraphFont"/>
    <w:link w:val="CommentText"/>
    <w:rPr>
      <w:rFonts w:ascii="Arial" w:hAnsi="Arial"/>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73005">
      <w:bodyDiv w:val="1"/>
      <w:marLeft w:val="0"/>
      <w:marRight w:val="0"/>
      <w:marTop w:val="0"/>
      <w:marBottom w:val="0"/>
      <w:divBdr>
        <w:top w:val="none" w:sz="0" w:space="0" w:color="auto"/>
        <w:left w:val="none" w:sz="0" w:space="0" w:color="auto"/>
        <w:bottom w:val="none" w:sz="0" w:space="0" w:color="auto"/>
        <w:right w:val="none" w:sz="0" w:space="0" w:color="auto"/>
      </w:divBdr>
    </w:div>
    <w:div w:id="175002066">
      <w:bodyDiv w:val="1"/>
      <w:marLeft w:val="0"/>
      <w:marRight w:val="0"/>
      <w:marTop w:val="0"/>
      <w:marBottom w:val="0"/>
      <w:divBdr>
        <w:top w:val="none" w:sz="0" w:space="0" w:color="auto"/>
        <w:left w:val="none" w:sz="0" w:space="0" w:color="auto"/>
        <w:bottom w:val="none" w:sz="0" w:space="0" w:color="auto"/>
        <w:right w:val="none" w:sz="0" w:space="0" w:color="auto"/>
      </w:divBdr>
    </w:div>
    <w:div w:id="187106672">
      <w:bodyDiv w:val="1"/>
      <w:marLeft w:val="0"/>
      <w:marRight w:val="0"/>
      <w:marTop w:val="0"/>
      <w:marBottom w:val="0"/>
      <w:divBdr>
        <w:top w:val="none" w:sz="0" w:space="0" w:color="auto"/>
        <w:left w:val="none" w:sz="0" w:space="0" w:color="auto"/>
        <w:bottom w:val="none" w:sz="0" w:space="0" w:color="auto"/>
        <w:right w:val="none" w:sz="0" w:space="0" w:color="auto"/>
      </w:divBdr>
    </w:div>
    <w:div w:id="202593300">
      <w:bodyDiv w:val="1"/>
      <w:marLeft w:val="0"/>
      <w:marRight w:val="0"/>
      <w:marTop w:val="0"/>
      <w:marBottom w:val="0"/>
      <w:divBdr>
        <w:top w:val="none" w:sz="0" w:space="0" w:color="auto"/>
        <w:left w:val="none" w:sz="0" w:space="0" w:color="auto"/>
        <w:bottom w:val="none" w:sz="0" w:space="0" w:color="auto"/>
        <w:right w:val="none" w:sz="0" w:space="0" w:color="auto"/>
      </w:divBdr>
    </w:div>
    <w:div w:id="736781611">
      <w:bodyDiv w:val="1"/>
      <w:marLeft w:val="0"/>
      <w:marRight w:val="0"/>
      <w:marTop w:val="0"/>
      <w:marBottom w:val="0"/>
      <w:divBdr>
        <w:top w:val="none" w:sz="0" w:space="0" w:color="auto"/>
        <w:left w:val="none" w:sz="0" w:space="0" w:color="auto"/>
        <w:bottom w:val="none" w:sz="0" w:space="0" w:color="auto"/>
        <w:right w:val="none" w:sz="0" w:space="0" w:color="auto"/>
      </w:divBdr>
    </w:div>
    <w:div w:id="861432475">
      <w:bodyDiv w:val="1"/>
      <w:marLeft w:val="0"/>
      <w:marRight w:val="0"/>
      <w:marTop w:val="0"/>
      <w:marBottom w:val="0"/>
      <w:divBdr>
        <w:top w:val="none" w:sz="0" w:space="0" w:color="auto"/>
        <w:left w:val="none" w:sz="0" w:space="0" w:color="auto"/>
        <w:bottom w:val="none" w:sz="0" w:space="0" w:color="auto"/>
        <w:right w:val="none" w:sz="0" w:space="0" w:color="auto"/>
      </w:divBdr>
    </w:div>
    <w:div w:id="1049574724">
      <w:bodyDiv w:val="1"/>
      <w:marLeft w:val="0"/>
      <w:marRight w:val="0"/>
      <w:marTop w:val="0"/>
      <w:marBottom w:val="0"/>
      <w:divBdr>
        <w:top w:val="none" w:sz="0" w:space="0" w:color="auto"/>
        <w:left w:val="none" w:sz="0" w:space="0" w:color="auto"/>
        <w:bottom w:val="none" w:sz="0" w:space="0" w:color="auto"/>
        <w:right w:val="none" w:sz="0" w:space="0" w:color="auto"/>
      </w:divBdr>
    </w:div>
    <w:div w:id="1059135247">
      <w:bodyDiv w:val="1"/>
      <w:marLeft w:val="0"/>
      <w:marRight w:val="0"/>
      <w:marTop w:val="0"/>
      <w:marBottom w:val="0"/>
      <w:divBdr>
        <w:top w:val="none" w:sz="0" w:space="0" w:color="auto"/>
        <w:left w:val="none" w:sz="0" w:space="0" w:color="auto"/>
        <w:bottom w:val="none" w:sz="0" w:space="0" w:color="auto"/>
        <w:right w:val="none" w:sz="0" w:space="0" w:color="auto"/>
      </w:divBdr>
    </w:div>
    <w:div w:id="1177384902">
      <w:bodyDiv w:val="1"/>
      <w:marLeft w:val="0"/>
      <w:marRight w:val="0"/>
      <w:marTop w:val="0"/>
      <w:marBottom w:val="0"/>
      <w:divBdr>
        <w:top w:val="none" w:sz="0" w:space="0" w:color="auto"/>
        <w:left w:val="none" w:sz="0" w:space="0" w:color="auto"/>
        <w:bottom w:val="none" w:sz="0" w:space="0" w:color="auto"/>
        <w:right w:val="none" w:sz="0" w:space="0" w:color="auto"/>
      </w:divBdr>
    </w:div>
    <w:div w:id="1333605227">
      <w:bodyDiv w:val="1"/>
      <w:marLeft w:val="0"/>
      <w:marRight w:val="0"/>
      <w:marTop w:val="0"/>
      <w:marBottom w:val="0"/>
      <w:divBdr>
        <w:top w:val="none" w:sz="0" w:space="0" w:color="auto"/>
        <w:left w:val="none" w:sz="0" w:space="0" w:color="auto"/>
        <w:bottom w:val="none" w:sz="0" w:space="0" w:color="auto"/>
        <w:right w:val="none" w:sz="0" w:space="0" w:color="auto"/>
      </w:divBdr>
    </w:div>
    <w:div w:id="1467507051">
      <w:bodyDiv w:val="1"/>
      <w:marLeft w:val="0"/>
      <w:marRight w:val="0"/>
      <w:marTop w:val="0"/>
      <w:marBottom w:val="0"/>
      <w:divBdr>
        <w:top w:val="none" w:sz="0" w:space="0" w:color="auto"/>
        <w:left w:val="none" w:sz="0" w:space="0" w:color="auto"/>
        <w:bottom w:val="none" w:sz="0" w:space="0" w:color="auto"/>
        <w:right w:val="none" w:sz="0" w:space="0" w:color="auto"/>
      </w:divBdr>
    </w:div>
    <w:div w:id="1518423489">
      <w:bodyDiv w:val="1"/>
      <w:marLeft w:val="0"/>
      <w:marRight w:val="0"/>
      <w:marTop w:val="0"/>
      <w:marBottom w:val="0"/>
      <w:divBdr>
        <w:top w:val="none" w:sz="0" w:space="0" w:color="auto"/>
        <w:left w:val="none" w:sz="0" w:space="0" w:color="auto"/>
        <w:bottom w:val="none" w:sz="0" w:space="0" w:color="auto"/>
        <w:right w:val="none" w:sz="0" w:space="0" w:color="auto"/>
      </w:divBdr>
    </w:div>
    <w:div w:id="1576820313">
      <w:bodyDiv w:val="1"/>
      <w:marLeft w:val="0"/>
      <w:marRight w:val="0"/>
      <w:marTop w:val="0"/>
      <w:marBottom w:val="0"/>
      <w:divBdr>
        <w:top w:val="none" w:sz="0" w:space="0" w:color="auto"/>
        <w:left w:val="none" w:sz="0" w:space="0" w:color="auto"/>
        <w:bottom w:val="none" w:sz="0" w:space="0" w:color="auto"/>
        <w:right w:val="none" w:sz="0" w:space="0" w:color="auto"/>
      </w:divBdr>
    </w:div>
    <w:div w:id="1654750245">
      <w:bodyDiv w:val="1"/>
      <w:marLeft w:val="0"/>
      <w:marRight w:val="0"/>
      <w:marTop w:val="0"/>
      <w:marBottom w:val="0"/>
      <w:divBdr>
        <w:top w:val="none" w:sz="0" w:space="0" w:color="auto"/>
        <w:left w:val="none" w:sz="0" w:space="0" w:color="auto"/>
        <w:bottom w:val="none" w:sz="0" w:space="0" w:color="auto"/>
        <w:right w:val="none" w:sz="0" w:space="0" w:color="auto"/>
      </w:divBdr>
    </w:div>
    <w:div w:id="1757630057">
      <w:bodyDiv w:val="1"/>
      <w:marLeft w:val="0"/>
      <w:marRight w:val="0"/>
      <w:marTop w:val="0"/>
      <w:marBottom w:val="0"/>
      <w:divBdr>
        <w:top w:val="none" w:sz="0" w:space="0" w:color="auto"/>
        <w:left w:val="none" w:sz="0" w:space="0" w:color="auto"/>
        <w:bottom w:val="none" w:sz="0" w:space="0" w:color="auto"/>
        <w:right w:val="none" w:sz="0" w:space="0" w:color="auto"/>
      </w:divBdr>
    </w:div>
    <w:div w:id="1794789776">
      <w:bodyDiv w:val="1"/>
      <w:marLeft w:val="0"/>
      <w:marRight w:val="0"/>
      <w:marTop w:val="0"/>
      <w:marBottom w:val="0"/>
      <w:divBdr>
        <w:top w:val="none" w:sz="0" w:space="0" w:color="auto"/>
        <w:left w:val="none" w:sz="0" w:space="0" w:color="auto"/>
        <w:bottom w:val="none" w:sz="0" w:space="0" w:color="auto"/>
        <w:right w:val="none" w:sz="0" w:space="0" w:color="auto"/>
      </w:divBdr>
    </w:div>
    <w:div w:id="1841508250">
      <w:bodyDiv w:val="1"/>
      <w:marLeft w:val="0"/>
      <w:marRight w:val="0"/>
      <w:marTop w:val="0"/>
      <w:marBottom w:val="0"/>
      <w:divBdr>
        <w:top w:val="none" w:sz="0" w:space="0" w:color="auto"/>
        <w:left w:val="none" w:sz="0" w:space="0" w:color="auto"/>
        <w:bottom w:val="none" w:sz="0" w:space="0" w:color="auto"/>
        <w:right w:val="none" w:sz="0" w:space="0" w:color="auto"/>
      </w:divBdr>
    </w:div>
    <w:div w:id="19161608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oter" Target="footer8.xml"/><Relationship Id="rId39" Type="http://schemas.openxmlformats.org/officeDocument/2006/relationships/footer" Target="footer19.xml"/><Relationship Id="rId21" Type="http://schemas.openxmlformats.org/officeDocument/2006/relationships/footer" Target="footer5.xml"/><Relationship Id="rId34" Type="http://schemas.openxmlformats.org/officeDocument/2006/relationships/footer" Target="footer14.xml"/><Relationship Id="rId42" Type="http://schemas.openxmlformats.org/officeDocument/2006/relationships/footer" Target="footer22.xml"/><Relationship Id="rId47" Type="http://schemas.openxmlformats.org/officeDocument/2006/relationships/footer" Target="footer27.xml"/><Relationship Id="rId50" Type="http://schemas.openxmlformats.org/officeDocument/2006/relationships/footer" Target="footer30.xml"/><Relationship Id="rId55" Type="http://schemas.openxmlformats.org/officeDocument/2006/relationships/theme" Target="theme/theme1.xml"/><Relationship Id="rId7" Type="http://schemas.openxmlformats.org/officeDocument/2006/relationships/settings" Target="settings.xml"/><Relationship Id="rId16" Type="http://schemas.openxmlformats.org/officeDocument/2006/relationships/header" Target="header3.xml"/><Relationship Id="rId29" Type="http://schemas.openxmlformats.org/officeDocument/2006/relationships/footer" Target="footer11.xml"/><Relationship Id="rId11" Type="http://schemas.openxmlformats.org/officeDocument/2006/relationships/image" Target="media/image1.png"/><Relationship Id="rId24" Type="http://schemas.openxmlformats.org/officeDocument/2006/relationships/header" Target="header7.xml"/><Relationship Id="rId32" Type="http://schemas.openxmlformats.org/officeDocument/2006/relationships/hyperlink" Target="mailto:dlrtelectricmarketersnsp@xcelenergy.com" TargetMode="External"/><Relationship Id="rId37" Type="http://schemas.openxmlformats.org/officeDocument/2006/relationships/footer" Target="footer17.xml"/><Relationship Id="rId40" Type="http://schemas.openxmlformats.org/officeDocument/2006/relationships/footer" Target="footer20.xml"/><Relationship Id="rId45" Type="http://schemas.openxmlformats.org/officeDocument/2006/relationships/footer" Target="footer25.xml"/><Relationship Id="rId53" Type="http://schemas.openxmlformats.org/officeDocument/2006/relationships/footer" Target="footer33.xml"/><Relationship Id="rId58" Type="http://schemas.openxmlformats.org/officeDocument/2006/relationships/customXml" Target="../customXml/item3.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footer" Target="footer24.xml"/><Relationship Id="rId52" Type="http://schemas.openxmlformats.org/officeDocument/2006/relationships/footer" Target="footer32.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footer" Target="footer12.xml"/><Relationship Id="rId35" Type="http://schemas.openxmlformats.org/officeDocument/2006/relationships/footer" Target="footer15.xml"/><Relationship Id="rId43" Type="http://schemas.openxmlformats.org/officeDocument/2006/relationships/footer" Target="footer23.xml"/><Relationship Id="rId48" Type="http://schemas.openxmlformats.org/officeDocument/2006/relationships/footer" Target="footer28.xml"/><Relationship Id="rId56" Type="http://schemas.openxmlformats.org/officeDocument/2006/relationships/customXml" Target="../customXml/item1.xml"/><Relationship Id="rId8" Type="http://schemas.openxmlformats.org/officeDocument/2006/relationships/webSettings" Target="webSettings.xml"/><Relationship Id="rId51" Type="http://schemas.openxmlformats.org/officeDocument/2006/relationships/footer" Target="footer31.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33" Type="http://schemas.openxmlformats.org/officeDocument/2006/relationships/hyperlink" Target="mailto:AGCOpr@xcelenergy.com" TargetMode="External"/><Relationship Id="rId38" Type="http://schemas.openxmlformats.org/officeDocument/2006/relationships/footer" Target="footer18.xml"/><Relationship Id="rId46" Type="http://schemas.openxmlformats.org/officeDocument/2006/relationships/footer" Target="footer26.xml"/><Relationship Id="rId20" Type="http://schemas.openxmlformats.org/officeDocument/2006/relationships/footer" Target="footer4.xml"/><Relationship Id="rId41" Type="http://schemas.openxmlformats.org/officeDocument/2006/relationships/footer" Target="footer21.xml"/><Relationship Id="rId54" Type="http://schemas.openxmlformats.org/officeDocument/2006/relationships/fontTable" Target="fontTable.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footer" Target="footer6.xml"/><Relationship Id="rId28" Type="http://schemas.openxmlformats.org/officeDocument/2006/relationships/footer" Target="footer10.xml"/><Relationship Id="rId36" Type="http://schemas.openxmlformats.org/officeDocument/2006/relationships/footer" Target="footer16.xml"/><Relationship Id="rId49" Type="http://schemas.openxmlformats.org/officeDocument/2006/relationships/footer" Target="footer29.xml"/><Relationship Id="rId5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5740E5-14C3-4F21-B155-A6D26B2B7261}"/>
</file>

<file path=customXml/itemProps2.xml><?xml version="1.0" encoding="utf-8"?>
<ds:datastoreItem xmlns:ds="http://schemas.openxmlformats.org/officeDocument/2006/customXml" ds:itemID="{14C68730-F835-4FDA-92D4-6EAC4F6E8943}"/>
</file>

<file path=customXml/itemProps3.xml><?xml version="1.0" encoding="utf-8"?>
<ds:datastoreItem xmlns:ds="http://schemas.openxmlformats.org/officeDocument/2006/customXml" ds:itemID="{03B9E918-1FE8-4E50-8904-10C7C5882C80}"/>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1900-01-01T05:00:00Z</dcterms:created>
  <dcterms:modified xsi:type="dcterms:W3CDTF">1900-01-01T05:00:00Z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0x01010073873F0C97B91B4EAB0C9EE10329A231</vt:lpwstr>
  </property>
</Properties>
</file>